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3F" w:rsidRDefault="001D3AB6">
      <w:pPr>
        <w:widowControl w:val="0"/>
        <w:pBdr>
          <w:top w:val="nil"/>
          <w:left w:val="nil"/>
          <w:bottom w:val="nil"/>
          <w:right w:val="nil"/>
          <w:between w:val="nil"/>
        </w:pBdr>
        <w:jc w:val="center"/>
        <w:rPr>
          <w:rFonts w:ascii="Calibri" w:eastAsia="Calibri" w:hAnsi="Calibri" w:cs="Calibri"/>
          <w:color w:val="000000"/>
        </w:rPr>
      </w:pPr>
      <w:r>
        <w:rPr>
          <w:color w:val="000000"/>
          <w:sz w:val="24"/>
          <w:szCs w:val="24"/>
        </w:rPr>
        <w:t xml:space="preserve"> </w:t>
      </w:r>
    </w:p>
    <w:p w:rsidR="000B463F" w:rsidRDefault="001D3AB6">
      <w:pPr>
        <w:widowControl w:val="0"/>
        <w:pBdr>
          <w:top w:val="nil"/>
          <w:left w:val="nil"/>
          <w:bottom w:val="nil"/>
          <w:right w:val="nil"/>
          <w:between w:val="nil"/>
        </w:pBdr>
        <w:jc w:val="center"/>
        <w:rPr>
          <w:rFonts w:ascii="Calibri" w:eastAsia="Calibri" w:hAnsi="Calibri" w:cs="Calibri"/>
          <w:color w:val="000000"/>
        </w:rPr>
      </w:pPr>
      <w:r>
        <w:rPr>
          <w:b/>
          <w:color w:val="000000"/>
          <w:sz w:val="28"/>
          <w:szCs w:val="28"/>
        </w:rPr>
        <w:t>ГРОМАДСЬКА ОРГАНІЗАЦІЯ «МЕРЕЖА ЗАХИСТУ НАЦІОНАЛЬНИХ ІНТЕРЕСІВ «АНТС»</w:t>
      </w:r>
    </w:p>
    <w:p w:rsidR="000B463F" w:rsidRDefault="000B463F">
      <w:pPr>
        <w:widowControl w:val="0"/>
        <w:pBdr>
          <w:top w:val="nil"/>
          <w:left w:val="nil"/>
          <w:bottom w:val="nil"/>
          <w:right w:val="nil"/>
          <w:between w:val="nil"/>
        </w:pBdr>
        <w:jc w:val="center"/>
        <w:rPr>
          <w:color w:val="000000"/>
          <w:sz w:val="28"/>
          <w:szCs w:val="28"/>
        </w:rPr>
      </w:pPr>
    </w:p>
    <w:p w:rsidR="000B463F" w:rsidRDefault="001D3AB6">
      <w:pPr>
        <w:widowControl w:val="0"/>
        <w:pBdr>
          <w:top w:val="nil"/>
          <w:left w:val="nil"/>
          <w:bottom w:val="nil"/>
          <w:right w:val="nil"/>
          <w:between w:val="nil"/>
        </w:pBdr>
        <w:jc w:val="right"/>
        <w:rPr>
          <w:rFonts w:ascii="Calibri" w:eastAsia="Calibri" w:hAnsi="Calibri" w:cs="Calibri"/>
          <w:color w:val="000000"/>
          <w:sz w:val="16"/>
          <w:szCs w:val="16"/>
        </w:rPr>
      </w:pPr>
      <w:r>
        <w:rPr>
          <w:b/>
          <w:color w:val="000000"/>
          <w:sz w:val="28"/>
          <w:szCs w:val="28"/>
        </w:rPr>
        <w:t xml:space="preserve">                                                                                                                                                          </w:t>
      </w:r>
      <w:r>
        <w:rPr>
          <w:b/>
          <w:color w:val="000000"/>
          <w:sz w:val="22"/>
          <w:szCs w:val="22"/>
        </w:rPr>
        <w:t>ЗАТВЕРДЖЕНО</w:t>
      </w:r>
    </w:p>
    <w:p w:rsidR="000B463F" w:rsidRDefault="001D3AB6">
      <w:pPr>
        <w:widowControl w:val="0"/>
        <w:pBdr>
          <w:top w:val="nil"/>
          <w:left w:val="nil"/>
          <w:bottom w:val="nil"/>
          <w:right w:val="nil"/>
          <w:between w:val="nil"/>
        </w:pBdr>
        <w:jc w:val="right"/>
        <w:rPr>
          <w:rFonts w:ascii="Calibri" w:eastAsia="Calibri" w:hAnsi="Calibri" w:cs="Calibri"/>
          <w:color w:val="000000"/>
          <w:sz w:val="16"/>
          <w:szCs w:val="16"/>
        </w:rPr>
      </w:pPr>
      <w:r>
        <w:rPr>
          <w:b/>
          <w:color w:val="000000"/>
          <w:sz w:val="22"/>
          <w:szCs w:val="22"/>
        </w:rPr>
        <w:t xml:space="preserve">Тендерним комітетом ГО «АНТС»                                            </w:t>
      </w:r>
    </w:p>
    <w:p w:rsidR="000B463F" w:rsidRDefault="000B463F">
      <w:pPr>
        <w:widowControl w:val="0"/>
        <w:pBdr>
          <w:top w:val="nil"/>
          <w:left w:val="nil"/>
          <w:bottom w:val="nil"/>
          <w:right w:val="nil"/>
          <w:between w:val="nil"/>
        </w:pBdr>
        <w:jc w:val="center"/>
        <w:rPr>
          <w:color w:val="000000"/>
          <w:sz w:val="22"/>
          <w:szCs w:val="22"/>
        </w:rPr>
      </w:pPr>
    </w:p>
    <w:p w:rsidR="000B463F" w:rsidRDefault="000B463F">
      <w:pPr>
        <w:widowControl w:val="0"/>
        <w:pBdr>
          <w:top w:val="nil"/>
          <w:left w:val="nil"/>
          <w:bottom w:val="nil"/>
          <w:right w:val="nil"/>
          <w:between w:val="nil"/>
        </w:pBdr>
        <w:jc w:val="center"/>
        <w:rPr>
          <w:color w:val="000000"/>
          <w:sz w:val="22"/>
          <w:szCs w:val="22"/>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1D3AB6">
      <w:pPr>
        <w:widowControl w:val="0"/>
        <w:pBdr>
          <w:top w:val="nil"/>
          <w:left w:val="nil"/>
          <w:bottom w:val="nil"/>
          <w:right w:val="nil"/>
          <w:between w:val="nil"/>
        </w:pBdr>
        <w:jc w:val="center"/>
        <w:rPr>
          <w:rFonts w:ascii="Calibri" w:eastAsia="Calibri" w:hAnsi="Calibri" w:cs="Calibri"/>
          <w:color w:val="000000"/>
        </w:rPr>
      </w:pPr>
      <w:r>
        <w:rPr>
          <w:b/>
          <w:color w:val="000000"/>
          <w:sz w:val="24"/>
          <w:szCs w:val="24"/>
        </w:rPr>
        <w:t xml:space="preserve">ТЕНДЕРНА ДОКУМЕНТАЦІЯ </w:t>
      </w:r>
    </w:p>
    <w:p w:rsidR="000B463F" w:rsidRDefault="000B463F">
      <w:pPr>
        <w:widowControl w:val="0"/>
        <w:pBdr>
          <w:top w:val="nil"/>
          <w:left w:val="nil"/>
          <w:bottom w:val="nil"/>
          <w:right w:val="nil"/>
          <w:between w:val="nil"/>
        </w:pBdr>
        <w:jc w:val="center"/>
        <w:rPr>
          <w:color w:val="000000"/>
          <w:sz w:val="24"/>
          <w:szCs w:val="24"/>
        </w:rPr>
      </w:pPr>
    </w:p>
    <w:p w:rsidR="000B463F" w:rsidRDefault="001D3AB6">
      <w:pPr>
        <w:widowControl w:val="0"/>
        <w:pBdr>
          <w:top w:val="nil"/>
          <w:left w:val="nil"/>
          <w:bottom w:val="nil"/>
          <w:right w:val="nil"/>
          <w:between w:val="nil"/>
        </w:pBdr>
        <w:jc w:val="center"/>
        <w:rPr>
          <w:color w:val="000000"/>
          <w:sz w:val="28"/>
          <w:szCs w:val="28"/>
        </w:rPr>
      </w:pPr>
      <w:r>
        <w:rPr>
          <w:color w:val="000000"/>
          <w:sz w:val="28"/>
          <w:szCs w:val="28"/>
        </w:rPr>
        <w:t>для проведення процедури закупівлі – відкритий тендер на закупівлю експертних послуг щодо:</w:t>
      </w:r>
    </w:p>
    <w:p w:rsidR="000B463F" w:rsidRDefault="000B463F">
      <w:pPr>
        <w:widowControl w:val="0"/>
        <w:pBdr>
          <w:top w:val="nil"/>
          <w:left w:val="nil"/>
          <w:bottom w:val="nil"/>
          <w:right w:val="nil"/>
          <w:between w:val="nil"/>
        </w:pBdr>
        <w:jc w:val="center"/>
        <w:rPr>
          <w:color w:val="000000"/>
          <w:sz w:val="28"/>
          <w:szCs w:val="28"/>
        </w:rPr>
      </w:pPr>
    </w:p>
    <w:p w:rsidR="00EF56DD" w:rsidRDefault="001D3AB6" w:rsidP="00EF56DD">
      <w:pPr>
        <w:pBdr>
          <w:top w:val="nil"/>
          <w:left w:val="nil"/>
          <w:bottom w:val="nil"/>
          <w:right w:val="nil"/>
          <w:between w:val="nil"/>
        </w:pBdr>
        <w:spacing w:line="276" w:lineRule="auto"/>
        <w:jc w:val="center"/>
        <w:rPr>
          <w:color w:val="000000"/>
          <w:sz w:val="28"/>
          <w:szCs w:val="28"/>
          <w:lang w:val="uk-UA"/>
        </w:rPr>
      </w:pPr>
      <w:r>
        <w:rPr>
          <w:color w:val="000000"/>
          <w:sz w:val="28"/>
          <w:szCs w:val="28"/>
        </w:rPr>
        <w:t>«</w:t>
      </w:r>
      <w:proofErr w:type="spellStart"/>
      <w:r>
        <w:rPr>
          <w:color w:val="000000"/>
          <w:sz w:val="28"/>
          <w:szCs w:val="28"/>
        </w:rPr>
        <w:t>Організаці</w:t>
      </w:r>
      <w:proofErr w:type="spellEnd"/>
      <w:r w:rsidR="003F74B1">
        <w:rPr>
          <w:color w:val="000000"/>
          <w:sz w:val="28"/>
          <w:szCs w:val="28"/>
          <w:lang w:val="uk-UA"/>
        </w:rPr>
        <w:t>я</w:t>
      </w:r>
      <w:r>
        <w:rPr>
          <w:color w:val="000000"/>
          <w:sz w:val="28"/>
          <w:szCs w:val="28"/>
        </w:rPr>
        <w:t xml:space="preserve"> </w:t>
      </w:r>
      <w:r w:rsidR="00EF56DD">
        <w:rPr>
          <w:color w:val="000000"/>
          <w:sz w:val="28"/>
          <w:szCs w:val="28"/>
          <w:lang w:val="uk-UA"/>
        </w:rPr>
        <w:t xml:space="preserve">та логістичне забезпечення </w:t>
      </w:r>
      <w:proofErr w:type="spellStart"/>
      <w:r>
        <w:rPr>
          <w:color w:val="000000"/>
          <w:sz w:val="28"/>
          <w:szCs w:val="28"/>
        </w:rPr>
        <w:t>адвокаційн</w:t>
      </w:r>
      <w:proofErr w:type="spellEnd"/>
      <w:r w:rsidR="00822E70">
        <w:rPr>
          <w:color w:val="000000"/>
          <w:sz w:val="28"/>
          <w:szCs w:val="28"/>
          <w:lang w:val="uk-UA"/>
        </w:rPr>
        <w:t>о</w:t>
      </w:r>
      <w:r w:rsidR="00EF56DD">
        <w:rPr>
          <w:color w:val="000000"/>
          <w:sz w:val="28"/>
          <w:szCs w:val="28"/>
          <w:lang w:val="uk-UA"/>
        </w:rPr>
        <w:t xml:space="preserve">го </w:t>
      </w:r>
    </w:p>
    <w:p w:rsidR="000B463F" w:rsidRDefault="00EF56DD" w:rsidP="00EF56DD">
      <w:pPr>
        <w:pBdr>
          <w:top w:val="nil"/>
          <w:left w:val="nil"/>
          <w:bottom w:val="nil"/>
          <w:right w:val="nil"/>
          <w:between w:val="nil"/>
        </w:pBdr>
        <w:spacing w:line="276" w:lineRule="auto"/>
        <w:jc w:val="center"/>
        <w:rPr>
          <w:color w:val="000000"/>
          <w:sz w:val="28"/>
          <w:szCs w:val="28"/>
        </w:rPr>
      </w:pPr>
      <w:r>
        <w:rPr>
          <w:color w:val="000000"/>
          <w:sz w:val="28"/>
          <w:szCs w:val="28"/>
          <w:lang w:val="uk-UA"/>
        </w:rPr>
        <w:t>візиту до Німеччини (Берліну) для делегації до 10 осіб</w:t>
      </w:r>
      <w:r w:rsidR="001D3AB6">
        <w:rPr>
          <w:color w:val="000000"/>
          <w:sz w:val="28"/>
          <w:szCs w:val="28"/>
        </w:rPr>
        <w:t>»</w:t>
      </w:r>
    </w:p>
    <w:p w:rsidR="000B463F" w:rsidRDefault="00B53FBA" w:rsidP="00EF56DD">
      <w:pPr>
        <w:widowControl w:val="0"/>
        <w:pBdr>
          <w:top w:val="nil"/>
          <w:left w:val="nil"/>
          <w:bottom w:val="nil"/>
          <w:right w:val="nil"/>
          <w:between w:val="nil"/>
        </w:pBdr>
        <w:spacing w:line="276" w:lineRule="auto"/>
        <w:jc w:val="center"/>
        <w:rPr>
          <w:color w:val="000000"/>
          <w:sz w:val="28"/>
          <w:szCs w:val="28"/>
        </w:rPr>
      </w:pPr>
      <w:r>
        <w:rPr>
          <w:color w:val="000000"/>
          <w:sz w:val="28"/>
          <w:szCs w:val="28"/>
          <w:lang w:val="uk-UA"/>
        </w:rPr>
        <w:t>(</w:t>
      </w:r>
      <w:r w:rsidR="001D3AB6">
        <w:rPr>
          <w:color w:val="000000"/>
          <w:sz w:val="28"/>
          <w:szCs w:val="28"/>
        </w:rPr>
        <w:t>послуги)</w:t>
      </w:r>
    </w:p>
    <w:p w:rsidR="000B463F" w:rsidRDefault="000B463F" w:rsidP="00EF56DD">
      <w:pPr>
        <w:widowControl w:val="0"/>
        <w:pBdr>
          <w:top w:val="nil"/>
          <w:left w:val="nil"/>
          <w:bottom w:val="nil"/>
          <w:right w:val="nil"/>
          <w:between w:val="nil"/>
        </w:pBdr>
        <w:spacing w:line="276" w:lineRule="auto"/>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Pr="003F74B1" w:rsidRDefault="001D3AB6">
      <w:pPr>
        <w:widowControl w:val="0"/>
        <w:pBdr>
          <w:top w:val="nil"/>
          <w:left w:val="nil"/>
          <w:bottom w:val="nil"/>
          <w:right w:val="nil"/>
          <w:between w:val="nil"/>
        </w:pBdr>
        <w:jc w:val="center"/>
        <w:rPr>
          <w:color w:val="000000"/>
          <w:sz w:val="24"/>
          <w:szCs w:val="24"/>
          <w:lang w:val="uk-UA"/>
        </w:rPr>
      </w:pPr>
      <w:r>
        <w:rPr>
          <w:b/>
          <w:color w:val="000000"/>
          <w:sz w:val="24"/>
          <w:szCs w:val="24"/>
        </w:rPr>
        <w:t>Київ-202</w:t>
      </w:r>
      <w:r w:rsidR="003F74B1">
        <w:rPr>
          <w:b/>
          <w:color w:val="000000"/>
          <w:sz w:val="24"/>
          <w:szCs w:val="24"/>
          <w:lang w:val="uk-UA"/>
        </w:rPr>
        <w:t>6</w:t>
      </w:r>
    </w:p>
    <w:p w:rsidR="000B463F" w:rsidRDefault="001D3AB6">
      <w:pPr>
        <w:pBdr>
          <w:top w:val="nil"/>
          <w:left w:val="nil"/>
          <w:bottom w:val="nil"/>
          <w:right w:val="nil"/>
          <w:between w:val="nil"/>
        </w:pBdr>
        <w:rPr>
          <w:rFonts w:ascii="Calibri" w:eastAsia="Calibri" w:hAnsi="Calibri" w:cs="Calibri"/>
          <w:color w:val="000000"/>
        </w:rPr>
      </w:pPr>
      <w:r>
        <w:br w:type="page"/>
      </w:r>
    </w:p>
    <w:tbl>
      <w:tblPr>
        <w:tblStyle w:val="aff6"/>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2"/>
        <w:gridCol w:w="7769"/>
      </w:tblGrid>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 Замовник закупівлі</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ГРОМАДСЬКА ОРГАНІЗАЦІЯ «МЕРЕЖА ЗАХИСТУ НАЦІОНАЛЬНИХ ІНТЕРЕСІВ «АНТС»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ЄДРПОУ: 43262336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Адреса: 03150, м. Київ, вул. Велика Васильківська 102, а/с. 122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Електронна пошта:</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tender@ants.org.ua</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2. Контактні особи Замовника, відповідальні за проведення процедури закупівлі</w:t>
            </w:r>
          </w:p>
        </w:tc>
        <w:tc>
          <w:tcPr>
            <w:tcW w:w="7769" w:type="dxa"/>
          </w:tcPr>
          <w:p w:rsidR="000B463F" w:rsidRPr="0082172C" w:rsidRDefault="001D3AB6">
            <w:pPr>
              <w:widowControl w:val="0"/>
              <w:pBdr>
                <w:top w:val="nil"/>
                <w:left w:val="nil"/>
                <w:bottom w:val="nil"/>
                <w:right w:val="nil"/>
                <w:between w:val="nil"/>
              </w:pBdr>
              <w:jc w:val="both"/>
              <w:rPr>
                <w:sz w:val="24"/>
                <w:szCs w:val="24"/>
              </w:rPr>
            </w:pPr>
            <w:proofErr w:type="spellStart"/>
            <w:r w:rsidRPr="0082172C">
              <w:rPr>
                <w:sz w:val="24"/>
                <w:szCs w:val="24"/>
              </w:rPr>
              <w:t>Рябич</w:t>
            </w:r>
            <w:proofErr w:type="spellEnd"/>
            <w:r w:rsidRPr="0082172C">
              <w:rPr>
                <w:sz w:val="24"/>
                <w:szCs w:val="24"/>
              </w:rPr>
              <w:t xml:space="preserve"> Галина Миколаївна, tender@ants.org.ua</w:t>
            </w:r>
          </w:p>
          <w:p w:rsidR="000B463F" w:rsidRPr="003F74B1" w:rsidRDefault="001D3AB6">
            <w:pPr>
              <w:widowControl w:val="0"/>
              <w:pBdr>
                <w:top w:val="nil"/>
                <w:left w:val="nil"/>
                <w:bottom w:val="nil"/>
                <w:right w:val="nil"/>
                <w:between w:val="nil"/>
              </w:pBdr>
              <w:jc w:val="both"/>
              <w:rPr>
                <w:sz w:val="24"/>
                <w:szCs w:val="24"/>
              </w:rPr>
            </w:pPr>
            <w:r w:rsidRPr="0082172C">
              <w:rPr>
                <w:sz w:val="24"/>
                <w:szCs w:val="24"/>
              </w:rPr>
              <w:t>+380962922540</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3. Предмет закупівлі</w:t>
            </w:r>
          </w:p>
        </w:tc>
        <w:tc>
          <w:tcPr>
            <w:tcW w:w="7769" w:type="dxa"/>
          </w:tcPr>
          <w:p w:rsidR="000B463F" w:rsidRPr="0082172C" w:rsidRDefault="003F74B1" w:rsidP="00EF56DD">
            <w:pPr>
              <w:widowControl w:val="0"/>
              <w:pBdr>
                <w:top w:val="nil"/>
                <w:left w:val="nil"/>
                <w:bottom w:val="nil"/>
                <w:right w:val="nil"/>
                <w:between w:val="nil"/>
              </w:pBdr>
              <w:jc w:val="both"/>
              <w:rPr>
                <w:color w:val="000000"/>
                <w:sz w:val="24"/>
                <w:szCs w:val="24"/>
              </w:rPr>
            </w:pPr>
            <w:proofErr w:type="spellStart"/>
            <w:r w:rsidRPr="0082172C">
              <w:rPr>
                <w:color w:val="000000"/>
                <w:sz w:val="24"/>
                <w:szCs w:val="24"/>
              </w:rPr>
              <w:t>Організаці</w:t>
            </w:r>
            <w:proofErr w:type="spellEnd"/>
            <w:r w:rsidRPr="0082172C">
              <w:rPr>
                <w:color w:val="000000"/>
                <w:sz w:val="24"/>
                <w:szCs w:val="24"/>
                <w:lang w:val="uk-UA"/>
              </w:rPr>
              <w:t>я</w:t>
            </w:r>
            <w:r w:rsidRPr="0082172C">
              <w:rPr>
                <w:color w:val="000000"/>
                <w:sz w:val="24"/>
                <w:szCs w:val="24"/>
              </w:rPr>
              <w:t xml:space="preserve"> </w:t>
            </w:r>
            <w:r w:rsidR="00EF56DD">
              <w:rPr>
                <w:color w:val="000000"/>
                <w:sz w:val="24"/>
                <w:szCs w:val="24"/>
                <w:lang w:val="uk-UA"/>
              </w:rPr>
              <w:t xml:space="preserve">та логістичне забезпечення </w:t>
            </w:r>
            <w:proofErr w:type="spellStart"/>
            <w:r w:rsidRPr="0082172C">
              <w:rPr>
                <w:color w:val="000000"/>
                <w:sz w:val="24"/>
                <w:szCs w:val="24"/>
              </w:rPr>
              <w:t>адвокаційн</w:t>
            </w:r>
            <w:proofErr w:type="spellEnd"/>
            <w:r w:rsidRPr="0082172C">
              <w:rPr>
                <w:color w:val="000000"/>
                <w:sz w:val="24"/>
                <w:szCs w:val="24"/>
                <w:lang w:val="uk-UA"/>
              </w:rPr>
              <w:t>о</w:t>
            </w:r>
            <w:r w:rsidR="00EF56DD">
              <w:rPr>
                <w:color w:val="000000"/>
                <w:sz w:val="24"/>
                <w:szCs w:val="24"/>
                <w:lang w:val="uk-UA"/>
              </w:rPr>
              <w:t>го візиту до</w:t>
            </w:r>
            <w:r w:rsidRPr="0082172C">
              <w:rPr>
                <w:color w:val="000000"/>
                <w:sz w:val="24"/>
                <w:szCs w:val="24"/>
              </w:rPr>
              <w:t xml:space="preserve"> </w:t>
            </w:r>
            <w:r w:rsidRPr="0082172C">
              <w:rPr>
                <w:color w:val="000000"/>
                <w:sz w:val="24"/>
                <w:szCs w:val="24"/>
                <w:lang w:val="uk-UA"/>
              </w:rPr>
              <w:t>Німеччин</w:t>
            </w:r>
            <w:r w:rsidR="00EF56DD">
              <w:rPr>
                <w:color w:val="000000"/>
                <w:sz w:val="24"/>
                <w:szCs w:val="24"/>
                <w:lang w:val="uk-UA"/>
              </w:rPr>
              <w:t>и (Берліну) для делегації до 10 осіб»</w:t>
            </w:r>
            <w:r w:rsidR="001D3AB6" w:rsidRPr="0082172C">
              <w:rPr>
                <w:color w:val="000000"/>
                <w:sz w:val="24"/>
                <w:szCs w:val="24"/>
              </w:rPr>
              <w:t xml:space="preserve"> (послуги)</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6. Валюта, у якій повинно бути розраховано та зазначено ціну тендерної пропозиції</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Валютою тендерної пропозиції є національна валюта України – гривня.</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7. Інформація про мову, якою повинно бути складено тендерні пропозиції</w:t>
            </w:r>
          </w:p>
        </w:tc>
        <w:tc>
          <w:tcPr>
            <w:tcW w:w="7769" w:type="dxa"/>
          </w:tcPr>
          <w:p w:rsidR="000B463F" w:rsidRDefault="001D3AB6">
            <w:pPr>
              <w:widowControl w:val="0"/>
              <w:pBdr>
                <w:top w:val="nil"/>
                <w:left w:val="nil"/>
                <w:bottom w:val="nil"/>
                <w:right w:val="nil"/>
                <w:between w:val="nil"/>
              </w:pBdr>
              <w:rPr>
                <w:rFonts w:ascii="Calibri" w:eastAsia="Calibri" w:hAnsi="Calibri" w:cs="Calibri"/>
                <w:color w:val="000000"/>
              </w:rPr>
            </w:pPr>
            <w:r>
              <w:rPr>
                <w:color w:val="000000"/>
                <w:sz w:val="24"/>
                <w:szCs w:val="24"/>
              </w:rPr>
              <w:t xml:space="preserve">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 разі надання інших документів складених  мовою іншою ніж українська мова, такі документи повинні супроводжуватися перекладом українською мовою. Тексти повинні бути автентичними.</w:t>
            </w:r>
          </w:p>
        </w:tc>
      </w:tr>
      <w:tr w:rsidR="000B463F">
        <w:trPr>
          <w:trHeight w:val="3732"/>
        </w:trPr>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8. Інформація про  можливість оскарження рішень, дій чи бездіяльності Тендерного комітету</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Учасники відкритих торгів, на будь-якому етапі їх проведення, але не пізніше ніж протягом двох робочих днів з моменту публікації повідомлення про результати відкритих торгів мають право звернутись до виконавчого директора щодо оскарження рішень, дій чи бездіяльності Тендерного комітету в разі наявності, на їх думку, порушених прав та інтересів. Протягом двох робочих днів з моменту отримання відповідного оскарження, виконавчий директор інформує заявника про результати розгляду скарги та прийнятого рішення.</w:t>
            </w:r>
          </w:p>
          <w:p w:rsidR="000B463F" w:rsidRDefault="001D3AB6" w:rsidP="003F74B1">
            <w:pPr>
              <w:widowControl w:val="0"/>
              <w:pBdr>
                <w:top w:val="nil"/>
                <w:left w:val="nil"/>
                <w:bottom w:val="nil"/>
                <w:right w:val="nil"/>
                <w:between w:val="nil"/>
              </w:pBdr>
              <w:jc w:val="both"/>
              <w:rPr>
                <w:color w:val="000000"/>
                <w:sz w:val="24"/>
                <w:szCs w:val="24"/>
              </w:rPr>
            </w:pPr>
            <w:r>
              <w:rPr>
                <w:color w:val="000000"/>
                <w:sz w:val="24"/>
                <w:szCs w:val="24"/>
              </w:rPr>
              <w:t xml:space="preserve">Виконавчий директор ГО «АНТС»- Люсьєна Шум, скарги подаються в електронній формі, шляхом надсилання на електронну адресу Замовника, зазначену в частині першій Тендерної документації. В тексті листа зазначити «Скарга виконавчому директору щодо закупівлі </w:t>
            </w:r>
            <w:r w:rsidR="003F74B1">
              <w:rPr>
                <w:color w:val="000000"/>
                <w:sz w:val="24"/>
                <w:szCs w:val="24"/>
                <w:lang w:val="uk-UA"/>
              </w:rPr>
              <w:t>послуги</w:t>
            </w:r>
            <w:r>
              <w:rPr>
                <w:color w:val="000000"/>
                <w:sz w:val="24"/>
                <w:szCs w:val="24"/>
              </w:rPr>
              <w:t xml:space="preserve">  (найменування предмету закупівлі)».</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9. Недискримінація учасників</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Участь у процедурі відкритих торгів можуть взяти усі зацікавлені особи, що відповідають вимогам, що встановлені Тендерним комітетом в цій документації.</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10. Строк подання пропозицій учасників відкритих торгів</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Строк подання заявок від учасників щодо участі в відкритих торгах на закупівлю експертних послуг не повинен бути меншим 7 (семи) робочих днів. В разі високої соціальної необхідності, впровадження надзвичайного стану, ризику значної зміни вартості чи наявності на ринку товарів, робіт та послуг, а також в разі гострої необхідності, строк для подання заявок від учасників може бути зменшено за рішенням Виконавчого директора.</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11. Зміст та спосіб подання заявки</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Заявка подається в електронному вигляді шляхом формування та направлення електронної заявки на електронну адресу Замовника, зазначену в пункті 1 Тендерної документації, в темі листа </w:t>
            </w:r>
            <w:proofErr w:type="spellStart"/>
            <w:r>
              <w:rPr>
                <w:color w:val="000000"/>
                <w:sz w:val="24"/>
                <w:szCs w:val="24"/>
              </w:rPr>
              <w:t>ОБОВʼЯЗКОВО</w:t>
            </w:r>
            <w:proofErr w:type="spellEnd"/>
            <w:r>
              <w:rPr>
                <w:color w:val="000000"/>
                <w:sz w:val="24"/>
                <w:szCs w:val="24"/>
              </w:rPr>
              <w:t xml:space="preserve"> зазначити, «Заявка, щодо закупівлі _______ (зазначити назву предмета закупівлі)».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Учасники надають:</w:t>
            </w:r>
          </w:p>
          <w:p w:rsidR="00491D11" w:rsidRPr="00491D11" w:rsidRDefault="001D3AB6" w:rsidP="00491D11">
            <w:pPr>
              <w:autoSpaceDE w:val="0"/>
              <w:autoSpaceDN w:val="0"/>
              <w:adjustRightInd w:val="0"/>
              <w:rPr>
                <w:color w:val="000000"/>
                <w:sz w:val="24"/>
                <w:szCs w:val="24"/>
                <w:lang w:val="uk-UA"/>
              </w:rPr>
            </w:pPr>
            <w:r>
              <w:rPr>
                <w:b/>
                <w:color w:val="000000"/>
                <w:sz w:val="24"/>
                <w:szCs w:val="24"/>
              </w:rPr>
              <w:t xml:space="preserve">- </w:t>
            </w:r>
            <w:r w:rsidRPr="00491D11">
              <w:rPr>
                <w:color w:val="000000"/>
                <w:sz w:val="24"/>
                <w:szCs w:val="24"/>
              </w:rPr>
              <w:t xml:space="preserve">Витяг </w:t>
            </w:r>
            <w:r w:rsidR="00491D11" w:rsidRPr="00491D11">
              <w:rPr>
                <w:bCs/>
                <w:sz w:val="24"/>
                <w:szCs w:val="24"/>
                <w:lang w:val="uk-UA"/>
              </w:rPr>
              <w:t>з Єдиного державного реєстру юридичних осіб,</w:t>
            </w:r>
            <w:r w:rsidR="00491D11">
              <w:rPr>
                <w:bCs/>
                <w:sz w:val="24"/>
                <w:szCs w:val="24"/>
                <w:lang w:val="uk-UA"/>
              </w:rPr>
              <w:t xml:space="preserve"> </w:t>
            </w:r>
            <w:r w:rsidR="00491D11" w:rsidRPr="00491D11">
              <w:rPr>
                <w:bCs/>
                <w:sz w:val="24"/>
                <w:szCs w:val="24"/>
                <w:lang w:val="uk-UA"/>
              </w:rPr>
              <w:t>фізичних осіб - підприємців та громадських формувань</w:t>
            </w:r>
            <w:r w:rsidR="00491D11" w:rsidRPr="00491D11">
              <w:rPr>
                <w:color w:val="000000"/>
                <w:sz w:val="24"/>
                <w:szCs w:val="24"/>
                <w:lang w:val="uk-UA"/>
              </w:rPr>
              <w:t>;</w:t>
            </w:r>
          </w:p>
          <w:p w:rsidR="000B463F" w:rsidRPr="00491D11" w:rsidRDefault="00491D11" w:rsidP="00491D11">
            <w:pPr>
              <w:widowControl w:val="0"/>
              <w:pBdr>
                <w:top w:val="nil"/>
                <w:left w:val="nil"/>
                <w:bottom w:val="nil"/>
                <w:right w:val="nil"/>
                <w:between w:val="nil"/>
              </w:pBdr>
              <w:jc w:val="both"/>
              <w:rPr>
                <w:color w:val="000000"/>
                <w:sz w:val="24"/>
                <w:szCs w:val="24"/>
                <w:lang w:val="uk-UA"/>
              </w:rPr>
            </w:pPr>
            <w:r w:rsidRPr="00491D11">
              <w:rPr>
                <w:color w:val="000000"/>
                <w:sz w:val="24"/>
                <w:szCs w:val="24"/>
                <w:lang w:val="uk-UA"/>
              </w:rPr>
              <w:t xml:space="preserve">- </w:t>
            </w:r>
            <w:r w:rsidR="001D3AB6" w:rsidRPr="00491D11">
              <w:rPr>
                <w:color w:val="000000"/>
                <w:sz w:val="24"/>
                <w:szCs w:val="24"/>
              </w:rPr>
              <w:t>Виписка з ЄДР</w:t>
            </w:r>
            <w:r w:rsidRPr="00491D11">
              <w:rPr>
                <w:color w:val="000000"/>
                <w:sz w:val="24"/>
                <w:szCs w:val="24"/>
                <w:lang w:val="uk-UA"/>
              </w:rPr>
              <w:t>;</w:t>
            </w:r>
          </w:p>
          <w:p w:rsidR="000B463F" w:rsidRPr="00491D11" w:rsidRDefault="001D3AB6">
            <w:pPr>
              <w:widowControl w:val="0"/>
              <w:pBdr>
                <w:top w:val="nil"/>
                <w:left w:val="nil"/>
                <w:bottom w:val="nil"/>
                <w:right w:val="nil"/>
                <w:between w:val="nil"/>
              </w:pBdr>
              <w:jc w:val="both"/>
              <w:rPr>
                <w:color w:val="000000"/>
                <w:sz w:val="24"/>
                <w:szCs w:val="24"/>
              </w:rPr>
            </w:pPr>
            <w:r w:rsidRPr="00491D11">
              <w:rPr>
                <w:color w:val="000000"/>
                <w:sz w:val="24"/>
                <w:szCs w:val="24"/>
              </w:rPr>
              <w:t>- Цінову пропозицію.</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2. Всі визначені цією тендерною документацією документи тендерної пропозиції подаються на електронну адресу Замовника, зазначену в пункті 1 Тендерної документації у вигляді </w:t>
            </w:r>
            <w:proofErr w:type="spellStart"/>
            <w:r>
              <w:rPr>
                <w:color w:val="000000"/>
                <w:sz w:val="24"/>
                <w:szCs w:val="24"/>
              </w:rPr>
              <w:t>скан</w:t>
            </w:r>
            <w:proofErr w:type="spellEnd"/>
            <w:r>
              <w:rPr>
                <w:color w:val="000000"/>
                <w:sz w:val="24"/>
                <w:szCs w:val="24"/>
              </w:rPr>
              <w:t>-копій придатних для машино зчитування (файли з розширенням «..</w:t>
            </w:r>
            <w:proofErr w:type="spellStart"/>
            <w:r>
              <w:rPr>
                <w:color w:val="000000"/>
                <w:sz w:val="24"/>
                <w:szCs w:val="24"/>
              </w:rPr>
              <w:t>pdf</w:t>
            </w:r>
            <w:proofErr w:type="spellEnd"/>
            <w:r>
              <w:rPr>
                <w:color w:val="000000"/>
                <w:sz w:val="24"/>
                <w:szCs w:val="24"/>
              </w:rPr>
              <w:t xml:space="preserve">.»), зміст та вигляд яких повинен відповідати оригіналам відповідних документів, згідно яких виготовляються такі </w:t>
            </w:r>
            <w:proofErr w:type="spellStart"/>
            <w:r>
              <w:rPr>
                <w:color w:val="000000"/>
                <w:sz w:val="24"/>
                <w:szCs w:val="24"/>
              </w:rPr>
              <w:t>скан</w:t>
            </w:r>
            <w:proofErr w:type="spellEnd"/>
            <w:r>
              <w:rPr>
                <w:color w:val="000000"/>
                <w:sz w:val="24"/>
                <w:szCs w:val="24"/>
              </w:rPr>
              <w:t xml:space="preserve">-копії.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 особи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w:t>
            </w:r>
            <w:proofErr w:type="spellStart"/>
            <w:r>
              <w:rPr>
                <w:color w:val="000000"/>
                <w:sz w:val="24"/>
                <w:szCs w:val="24"/>
              </w:rPr>
              <w:t>закупівель</w:t>
            </w:r>
            <w:proofErr w:type="spellEnd"/>
            <w:r>
              <w:rPr>
                <w:color w:val="000000"/>
                <w:sz w:val="24"/>
                <w:szCs w:val="24"/>
              </w:rPr>
              <w:t xml:space="preserve"> із накладанням електронного підпису (КЕП/УЕП) на кожен з таких документів (матеріал чи інформацію).</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12. Строк дії фінансової пропозиції</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Фінансова пропозиція вважається дійсною протягом 40 днів із дати кінцевого строку подання заявок.</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13. Вимоги до учасника процедури закупівлі</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До участі в закупівлі не допускається учасник, який:</w:t>
            </w:r>
          </w:p>
          <w:p w:rsidR="000B463F" w:rsidRDefault="00AF16F7">
            <w:pPr>
              <w:widowControl w:val="0"/>
              <w:pBdr>
                <w:top w:val="nil"/>
                <w:left w:val="nil"/>
                <w:bottom w:val="nil"/>
                <w:right w:val="nil"/>
                <w:between w:val="nil"/>
              </w:pBdr>
              <w:jc w:val="both"/>
              <w:rPr>
                <w:color w:val="000000"/>
                <w:sz w:val="24"/>
                <w:szCs w:val="24"/>
              </w:rPr>
            </w:pPr>
            <w:sdt>
              <w:sdtPr>
                <w:tag w:val="goog_rdk_0"/>
                <w:id w:val="-1475549330"/>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Визнаний у встановленому законом порядку банкрутом та/або стосовно нього відкрита ліквідаційна процедура;</w:t>
            </w:r>
          </w:p>
          <w:p w:rsidR="000B463F" w:rsidRDefault="00AF16F7">
            <w:pPr>
              <w:widowControl w:val="0"/>
              <w:pBdr>
                <w:top w:val="nil"/>
                <w:left w:val="nil"/>
                <w:bottom w:val="nil"/>
                <w:right w:val="nil"/>
                <w:between w:val="nil"/>
              </w:pBdr>
              <w:jc w:val="both"/>
              <w:rPr>
                <w:color w:val="000000"/>
                <w:sz w:val="24"/>
                <w:szCs w:val="24"/>
              </w:rPr>
            </w:pPr>
            <w:sdt>
              <w:sdtPr>
                <w:tag w:val="goog_rdk_1"/>
                <w:id w:val="724004805"/>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Був засуджений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p w:rsidR="000B463F" w:rsidRDefault="00AF16F7">
            <w:pPr>
              <w:widowControl w:val="0"/>
              <w:pBdr>
                <w:top w:val="nil"/>
                <w:left w:val="nil"/>
                <w:bottom w:val="nil"/>
                <w:right w:val="nil"/>
                <w:between w:val="nil"/>
              </w:pBdr>
              <w:jc w:val="both"/>
              <w:rPr>
                <w:color w:val="000000"/>
                <w:sz w:val="24"/>
                <w:szCs w:val="24"/>
              </w:rPr>
            </w:pPr>
            <w:sdt>
              <w:sdtPr>
                <w:tag w:val="goog_rdk_2"/>
                <w:id w:val="-1264996957"/>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Був притягнутий згідно із законодавством до відповідальності за вчинення корупційного правопорушення або правопорушення, пов’язаного з корупцією;</w:t>
            </w:r>
          </w:p>
          <w:p w:rsidR="000B463F" w:rsidRDefault="00AF16F7">
            <w:pPr>
              <w:widowControl w:val="0"/>
              <w:pBdr>
                <w:top w:val="nil"/>
                <w:left w:val="nil"/>
                <w:bottom w:val="nil"/>
                <w:right w:val="nil"/>
                <w:between w:val="nil"/>
              </w:pBdr>
              <w:jc w:val="both"/>
              <w:rPr>
                <w:color w:val="000000"/>
                <w:sz w:val="24"/>
                <w:szCs w:val="24"/>
              </w:rPr>
            </w:pPr>
            <w:sdt>
              <w:sdtPr>
                <w:tag w:val="goog_rdk_3"/>
                <w:id w:val="-1174504772"/>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Був переможцем процедури закупівлі робіт, товарів і послуг, що проводились ГО «АНТС», але не зміг виконати умови договору про закупівлю;</w:t>
            </w:r>
          </w:p>
          <w:p w:rsidR="000B463F" w:rsidRDefault="00AF16F7">
            <w:pPr>
              <w:widowControl w:val="0"/>
              <w:pBdr>
                <w:top w:val="nil"/>
                <w:left w:val="nil"/>
                <w:bottom w:val="nil"/>
                <w:right w:val="nil"/>
                <w:between w:val="nil"/>
              </w:pBdr>
              <w:jc w:val="both"/>
              <w:rPr>
                <w:color w:val="000000"/>
                <w:sz w:val="24"/>
                <w:szCs w:val="24"/>
              </w:rPr>
            </w:pPr>
            <w:sdt>
              <w:sdtPr>
                <w:tag w:val="goog_rdk_4"/>
                <w:id w:val="429799559"/>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Не відповідає принципам </w:t>
            </w:r>
            <w:proofErr w:type="spellStart"/>
            <w:r w:rsidR="001D3AB6">
              <w:rPr>
                <w:color w:val="000000"/>
                <w:sz w:val="24"/>
                <w:szCs w:val="24"/>
              </w:rPr>
              <w:t>закупівель</w:t>
            </w:r>
            <w:proofErr w:type="spellEnd"/>
            <w:r w:rsidR="001D3AB6">
              <w:rPr>
                <w:color w:val="000000"/>
                <w:sz w:val="24"/>
                <w:szCs w:val="24"/>
              </w:rPr>
              <w:t xml:space="preserve"> ГО «АНТС»;</w:t>
            </w:r>
          </w:p>
          <w:p w:rsidR="000B463F" w:rsidRDefault="00AF16F7">
            <w:pPr>
              <w:widowControl w:val="0"/>
              <w:pBdr>
                <w:top w:val="nil"/>
                <w:left w:val="nil"/>
                <w:bottom w:val="nil"/>
                <w:right w:val="nil"/>
                <w:between w:val="nil"/>
              </w:pBdr>
              <w:jc w:val="both"/>
              <w:rPr>
                <w:color w:val="000000"/>
                <w:sz w:val="24"/>
                <w:szCs w:val="24"/>
              </w:rPr>
            </w:pPr>
            <w:sdt>
              <w:sdtPr>
                <w:tag w:val="goog_rdk_5"/>
                <w:id w:val="-1550298712"/>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У разі відсутності обов’язкової документації (ліцензії, сертифікати тощо) для виконання умов за договором.</w:t>
            </w:r>
          </w:p>
          <w:p w:rsidR="000B463F" w:rsidRDefault="000B463F">
            <w:pPr>
              <w:widowControl w:val="0"/>
              <w:pBdr>
                <w:top w:val="nil"/>
                <w:left w:val="nil"/>
                <w:bottom w:val="nil"/>
                <w:right w:val="nil"/>
                <w:between w:val="nil"/>
              </w:pBdr>
              <w:jc w:val="both"/>
              <w:rPr>
                <w:color w:val="000000"/>
                <w:sz w:val="24"/>
                <w:szCs w:val="24"/>
              </w:rPr>
            </w:pP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Учасником процедури закупівлі товарів, робіт та послуг не можуть бути резиденти держав, щодо яких: законодавством України встановлено заборона (ембарго) на торгівлю; законодавством України, прийнятим на виконання резолюції Ради Безпеки ООН, схваленої на підставі Глави VII Статуту ООН, заборонено імпорт товарів та послуг, а також здійснення розрахунків з особами, які є резидентами такої держави. Учасником не може бути особа, що планує до постачання товарів російського походження згідно Постанови Кабінету Міністрів України «Про застосування заборони ввезення товарів з Російської Федерації» від 09.04.2022 № 426. Учасником не може бути особа, що планує до постачання товарів з Республіки Білорусь. Учасником процедури </w:t>
            </w:r>
            <w:r>
              <w:rPr>
                <w:color w:val="000000"/>
                <w:sz w:val="24"/>
                <w:szCs w:val="24"/>
              </w:rPr>
              <w:lastRenderedPageBreak/>
              <w:t>закупівлі товарів, робіт та послуг не можуть бути резиденти Російської Федерації та Республіки Білорусь. Пропозиція Учасника, що пропонує до постачання, товари виробників, що на момент подання пропозиції, продовжують функціонування в Російській Федерації, буде розглядатися в останню чергу, не залежно від ціни пропозиції та може бути відхилена з даної підстави.</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14. Інші вимоги</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Кожен учасник має право подати тільки одну заявку.</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До розрахунку фінансової 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15. Опис та приклади формальних (несуттєвих) помилок, допущення яких учасниками не призведе до відхилення їх тендерних пропозицій.</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Пропозиція не буде відхилена у разі допущення Учасником торгів формальних (несуттєвих) помилок, пов’язаних з оформленням заявки та які не впливають на зміст пропозиції.</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 Інформація/документ, подана учасником, містить помилку (помилки) у частині: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уживання великої літери;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уживання розділових знаків та відмінювання слів у реченні;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використання слова або </w:t>
            </w:r>
            <w:proofErr w:type="spellStart"/>
            <w:r>
              <w:rPr>
                <w:color w:val="000000"/>
                <w:sz w:val="24"/>
                <w:szCs w:val="24"/>
              </w:rPr>
              <w:t>мовного</w:t>
            </w:r>
            <w:proofErr w:type="spellEnd"/>
            <w:r>
              <w:rPr>
                <w:color w:val="000000"/>
                <w:sz w:val="24"/>
                <w:szCs w:val="24"/>
              </w:rPr>
              <w:t xml:space="preserve"> звороту, запозичених з іншої мови;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зазначення унікального номера оголошення про проведення закупівлі, присвоєного електронною системою </w:t>
            </w:r>
            <w:proofErr w:type="spellStart"/>
            <w:r>
              <w:rPr>
                <w:color w:val="000000"/>
                <w:sz w:val="24"/>
                <w:szCs w:val="24"/>
              </w:rPr>
              <w:t>закупівель</w:t>
            </w:r>
            <w:proofErr w:type="spellEnd"/>
            <w:r>
              <w:rPr>
                <w:color w:val="000000"/>
                <w:sz w:val="24"/>
                <w:szCs w:val="24"/>
              </w:rPr>
              <w:t xml:space="preserve"> та/або унікального номера повідомлення про намір укласти договір про закупівлю - помилка в цифрах;</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застосування правил переносу частини слова з рядка в рядок;</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написання слів разом та/або окремо, та/або через дефіс;</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2. Помилка, зроблена учасником під час оформлення тексту документа/унесення інформації в окремі поля електронної форми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пропозиції учасника закупівлі та не призводить до її спотворення та/або не стосується характеристики предмета закупівлі, кваліфікаційних критеріїв до учасника закупівлі.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3. Невірна назва документа (документів), що подається учасником у складі пропозиції, зміст якого відповідає вимогам, визначеним замовником у оголошенні.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4. Окрема сторінка (сторінки) копії документа (документів) не завірена підписом та/або печаткою учасника процедури закупівлі (у разі її використання Учасник повинен надати інформацію щодо використання у своїй діяльності печатки).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5. У складі пропозиції немає документа (документів), на який посилається учасник у своїй пропозиції, при цьому Замовником не вимагається подання такого документа в оголошенні.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6. Подання документа (документів) учасником у складі пропозиції, що не містить власноручного підпису уповноваженої особи учасника, якщо на цей документ (документи) накладено її кваліфікований електронний підпис.</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7. Подання документа (документів) учасником, що складений у довільній формі та не містить вихідного номера.</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8. Подання документа учасником, що є сканованою копією оригіналу документа/електронного документа.</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9. Подання документа учасником, який засвідчений підписом уповноваженої особи учасника закупівлі та додатково містить підпис (візу) особи, повноваження якої учасником не підтверджені (наприклад, переклад документа завізований перекладачем тощо).</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10. Подання документа (документів),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11. Подання документа (документів), в якому позиція цифри (цифр) у сумі є некоректною, при цьому сума, що зазначена прописом, є правильною.</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12. Подання документа (документів) учасником в форматі, що відрізняється від формату, який вимагається замовником у оголошенні, при цьому такий формат документа забезпечує можливість його перегляду.</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Приклади формальних помилок:</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 xml:space="preserve">«Дніпропетровська область» замість «Вінницька область» або «місто </w:t>
            </w:r>
            <w:proofErr w:type="spellStart"/>
            <w:r>
              <w:rPr>
                <w:color w:val="000000"/>
                <w:sz w:val="24"/>
                <w:szCs w:val="24"/>
              </w:rPr>
              <w:t>львів</w:t>
            </w:r>
            <w:proofErr w:type="spellEnd"/>
            <w:r>
              <w:rPr>
                <w:color w:val="000000"/>
                <w:sz w:val="24"/>
                <w:szCs w:val="24"/>
              </w:rPr>
              <w:t xml:space="preserve">» замість «місто Львів»;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«Довідка» замість «Лист», «Гарантійний лист» замість «Довідка», «Лист» замість «Гарантійний лист» тощо;</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подання документа у форматі  «PDF» замість «JPEG», «JPEG» замість «PDF», «RAR» замість «PDF», «7z» замість «PDF» тощо.</w:t>
            </w:r>
          </w:p>
          <w:p w:rsidR="000B463F" w:rsidRDefault="001D3AB6">
            <w:pPr>
              <w:pBdr>
                <w:top w:val="nil"/>
                <w:left w:val="nil"/>
                <w:bottom w:val="nil"/>
                <w:right w:val="nil"/>
                <w:between w:val="nil"/>
              </w:pBdr>
              <w:jc w:val="both"/>
              <w:rPr>
                <w:color w:val="000000"/>
                <w:sz w:val="24"/>
                <w:szCs w:val="24"/>
              </w:rPr>
            </w:pPr>
            <w:r>
              <w:rPr>
                <w:color w:val="000000"/>
                <w:sz w:val="24"/>
                <w:szCs w:val="24"/>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Замовник може звернутися до учасника з вимогою про усунення таких </w:t>
            </w:r>
            <w:proofErr w:type="spellStart"/>
            <w:r>
              <w:rPr>
                <w:color w:val="000000"/>
                <w:sz w:val="24"/>
                <w:szCs w:val="24"/>
              </w:rPr>
              <w:t>невідповідностей</w:t>
            </w:r>
            <w:proofErr w:type="spellEnd"/>
            <w:r>
              <w:rPr>
                <w:color w:val="000000"/>
                <w:sz w:val="24"/>
                <w:szCs w:val="24"/>
              </w:rPr>
              <w:t>.</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16. Відхилення тендерних пропозицій</w:t>
            </w:r>
          </w:p>
        </w:tc>
        <w:tc>
          <w:tcPr>
            <w:tcW w:w="7769" w:type="dxa"/>
          </w:tcPr>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4.1. Замовник відхиляє тендерну пропозицію із зазначенням аргументації у разі якщо:</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1) учасник процедури закупівлі:</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t>зазначив у тендерній пропозиції недостовірну інформацію, що є суттєвою для визначення результатів відкритих торгів;</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Визнаний у встановленому законом порядку банкрутом та/або стосовно нього відкрита ліквідаційна процедура;</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Був засуджений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Був притягнутий згідно із законодавством до відповідальності за вчинення корупційного правопорушення або правопорушення, пов’язаного з корупцією;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Був переможцем процедури закупівлі робіт, товарів і послуг, що проводились ГО «АНТС», але не зміг виконати умови договору про закупівлю;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Не відповідає принципам </w:t>
            </w:r>
            <w:proofErr w:type="spellStart"/>
            <w:r>
              <w:rPr>
                <w:rFonts w:ascii="Liberation Serif" w:eastAsia="Liberation Serif" w:hAnsi="Liberation Serif" w:cs="Liberation Serif"/>
                <w:color w:val="000000"/>
                <w:sz w:val="24"/>
                <w:szCs w:val="24"/>
              </w:rPr>
              <w:t>закупівель</w:t>
            </w:r>
            <w:proofErr w:type="spellEnd"/>
            <w:r>
              <w:rPr>
                <w:rFonts w:ascii="Liberation Serif" w:eastAsia="Liberation Serif" w:hAnsi="Liberation Serif" w:cs="Liberation Serif"/>
                <w:color w:val="000000"/>
                <w:sz w:val="24"/>
                <w:szCs w:val="24"/>
              </w:rPr>
              <w:t xml:space="preserve"> ГО «АНТС»;</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 разі відсутності обов’язкової документації (ліцензії, сертифікати тощо) для виконання умов за договором.</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lastRenderedPageBreak/>
              <w:t xml:space="preserve">Учасником процедури закупівлі товарів, є резидент держав, щодо яких: законодавством України встановлено заборона (ембарго) на торгівлю; законодавством України, прийнятим на виконання резолюції Ради Безпеки ООН, схваленої на підставі Глави VII Статуту ООН, заборонено імпорт товарів та послуг, а також здійснення розрахунків з особами, які є резидентами такої держави. Учасником не може бути особа, що планує до постачання товарів російського походження згідно Постанови Кабінету Міністрів України «Про застосування заборони ввезення товарів з Російської Федерації» від 09.04.2022 № 426. </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t xml:space="preserve">Учасником є особа, що планує до постачання товарів з Республіки Білорусь та/або Російської Федерації. </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t>Учасником процедури закупівлі товарів, робіт та послуг є резидент Російської Федерації та Республіки Білорусь.</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Учасник, пропонує до постачання, товари виробників, що на момент подання пропозиції, продовжують функціонування в Російській Федерації (за рішенням тендерного комітету).</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не відповідає умовам технічної специфікації та іншим вимогам щодо предмета закупівлі тендерної документації;</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викладена іншою мовою (мовами), ніж мова (мови), що передбачена тендерною документацією;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є такою, строк дії якої закінчився;</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є такою, ціна якої перевищує очікувану вартість предмета закупівлі, визначену замовником;</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2) переможець процедури закупівлі:</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надав недостовірну інформацію, що є суттєвою для визначення результатів процедури закупівлі.</w:t>
            </w:r>
          </w:p>
          <w:p w:rsidR="000B463F" w:rsidRDefault="000B463F">
            <w:pPr>
              <w:widowControl w:val="0"/>
              <w:pBdr>
                <w:top w:val="nil"/>
                <w:left w:val="nil"/>
                <w:bottom w:val="nil"/>
                <w:right w:val="nil"/>
                <w:between w:val="nil"/>
              </w:pBdr>
              <w:jc w:val="both"/>
              <w:rPr>
                <w:color w:val="000000"/>
                <w:sz w:val="24"/>
                <w:szCs w:val="24"/>
              </w:rPr>
            </w:pP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18. Відміна замовником тендеру</w:t>
            </w:r>
          </w:p>
        </w:tc>
        <w:tc>
          <w:tcPr>
            <w:tcW w:w="7769" w:type="dxa"/>
          </w:tcPr>
          <w:p w:rsidR="000B463F" w:rsidRDefault="001D3AB6">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color w:val="000000"/>
                <w:sz w:val="24"/>
                <w:szCs w:val="24"/>
              </w:rPr>
              <w:t>Замовник відміняє відкриті торги у разі:</w:t>
            </w:r>
          </w:p>
          <w:p w:rsidR="000B463F" w:rsidRDefault="001D3AB6">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color w:val="000000"/>
                <w:sz w:val="24"/>
                <w:szCs w:val="24"/>
              </w:rPr>
              <w:t>1) відсутності подальшої потреби в закупівлі товарів, робіт чи послуг;</w:t>
            </w:r>
          </w:p>
          <w:p w:rsidR="000B463F" w:rsidRDefault="001D3AB6">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color w:val="000000"/>
                <w:sz w:val="24"/>
                <w:szCs w:val="24"/>
              </w:rPr>
              <w:t xml:space="preserve">2) неможливості усунення порушень, що виникли через виявлені порушення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3) коли здійснення закупівлі стало неможливим внаслідок дії обставин непереборної сили.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4) за рішенням виконавчого директора Замовника</w:t>
            </w:r>
            <w:r>
              <w:rPr>
                <w:color w:val="000000"/>
              </w:rPr>
              <w:t xml:space="preserve"> </w:t>
            </w:r>
          </w:p>
        </w:tc>
      </w:tr>
    </w:tbl>
    <w:p w:rsidR="000B463F" w:rsidRDefault="000B463F">
      <w:pPr>
        <w:widowControl w:val="0"/>
        <w:pBdr>
          <w:top w:val="nil"/>
          <w:left w:val="nil"/>
          <w:bottom w:val="nil"/>
          <w:right w:val="nil"/>
          <w:between w:val="nil"/>
        </w:pBdr>
        <w:jc w:val="both"/>
        <w:rPr>
          <w:color w:val="000000"/>
          <w:sz w:val="24"/>
          <w:szCs w:val="24"/>
        </w:rPr>
      </w:pPr>
    </w:p>
    <w:p w:rsidR="000B463F" w:rsidRDefault="000B463F">
      <w:pPr>
        <w:widowControl w:val="0"/>
        <w:pBdr>
          <w:top w:val="nil"/>
          <w:left w:val="nil"/>
          <w:bottom w:val="nil"/>
          <w:right w:val="nil"/>
          <w:between w:val="nil"/>
        </w:pBdr>
        <w:jc w:val="center"/>
        <w:rPr>
          <w:rFonts w:ascii="Calibri" w:eastAsia="Calibri" w:hAnsi="Calibri" w:cs="Calibri"/>
          <w:color w:val="000000"/>
        </w:rPr>
      </w:pP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Додатки до Тендерної документації, які є її невід’ємними частинами:</w:t>
      </w:r>
    </w:p>
    <w:p w:rsidR="000B463F" w:rsidRDefault="001D3AB6">
      <w:pPr>
        <w:widowControl w:val="0"/>
        <w:numPr>
          <w:ilvl w:val="0"/>
          <w:numId w:val="1"/>
        </w:numPr>
        <w:pBdr>
          <w:top w:val="nil"/>
          <w:left w:val="nil"/>
          <w:bottom w:val="nil"/>
          <w:right w:val="nil"/>
          <w:between w:val="nil"/>
        </w:pBdr>
        <w:jc w:val="both"/>
        <w:rPr>
          <w:color w:val="000000"/>
          <w:sz w:val="24"/>
          <w:szCs w:val="24"/>
        </w:rPr>
      </w:pPr>
      <w:r>
        <w:rPr>
          <w:color w:val="000000"/>
          <w:sz w:val="24"/>
          <w:szCs w:val="24"/>
        </w:rPr>
        <w:t>Додаток 1 Цінова пропозиція</w:t>
      </w:r>
    </w:p>
    <w:p w:rsidR="000B463F" w:rsidRDefault="001D3AB6" w:rsidP="0082172C">
      <w:pPr>
        <w:pBdr>
          <w:top w:val="nil"/>
          <w:left w:val="nil"/>
          <w:bottom w:val="nil"/>
          <w:right w:val="nil"/>
          <w:between w:val="nil"/>
        </w:pBdr>
        <w:jc w:val="center"/>
        <w:rPr>
          <w:rFonts w:ascii="Calibri" w:eastAsia="Calibri" w:hAnsi="Calibri" w:cs="Calibri"/>
          <w:color w:val="000000"/>
        </w:rPr>
      </w:pPr>
      <w:bookmarkStart w:id="0" w:name="_GoBack"/>
      <w:bookmarkEnd w:id="0"/>
      <w:r>
        <w:br w:type="page"/>
      </w:r>
      <w:r>
        <w:rPr>
          <w:b/>
          <w:color w:val="000000"/>
          <w:sz w:val="24"/>
          <w:szCs w:val="24"/>
        </w:rPr>
        <w:lastRenderedPageBreak/>
        <w:t xml:space="preserve">Додаток 1 </w:t>
      </w:r>
    </w:p>
    <w:p w:rsidR="000B463F" w:rsidRDefault="001D3AB6">
      <w:pPr>
        <w:pBdr>
          <w:top w:val="nil"/>
          <w:left w:val="nil"/>
          <w:bottom w:val="nil"/>
          <w:right w:val="nil"/>
          <w:between w:val="nil"/>
        </w:pBdr>
        <w:jc w:val="right"/>
        <w:rPr>
          <w:color w:val="000000"/>
          <w:sz w:val="24"/>
          <w:szCs w:val="24"/>
        </w:rPr>
      </w:pPr>
      <w:r>
        <w:rPr>
          <w:b/>
          <w:color w:val="000000"/>
          <w:sz w:val="24"/>
          <w:szCs w:val="24"/>
        </w:rPr>
        <w:t>до тендерної документації</w:t>
      </w:r>
    </w:p>
    <w:p w:rsidR="000B463F" w:rsidRDefault="000B463F">
      <w:pPr>
        <w:pBdr>
          <w:top w:val="nil"/>
          <w:left w:val="nil"/>
          <w:bottom w:val="nil"/>
          <w:right w:val="nil"/>
          <w:between w:val="nil"/>
        </w:pBdr>
        <w:jc w:val="right"/>
        <w:rPr>
          <w:rFonts w:ascii="Calibri" w:eastAsia="Calibri" w:hAnsi="Calibri" w:cs="Calibri"/>
          <w:color w:val="000000"/>
        </w:rPr>
      </w:pPr>
    </w:p>
    <w:p w:rsidR="000B463F" w:rsidRDefault="001D3AB6">
      <w:pPr>
        <w:pBdr>
          <w:top w:val="nil"/>
          <w:left w:val="nil"/>
          <w:bottom w:val="nil"/>
          <w:right w:val="nil"/>
          <w:between w:val="nil"/>
        </w:pBdr>
        <w:jc w:val="center"/>
        <w:rPr>
          <w:color w:val="000000"/>
          <w:sz w:val="24"/>
          <w:szCs w:val="24"/>
        </w:rPr>
      </w:pPr>
      <w:r>
        <w:rPr>
          <w:b/>
          <w:color w:val="000000"/>
          <w:sz w:val="24"/>
          <w:szCs w:val="24"/>
        </w:rPr>
        <w:t>ЦІНОВА ПРОПОЗИЦІЯ</w:t>
      </w:r>
    </w:p>
    <w:p w:rsidR="000B463F" w:rsidRDefault="000B463F">
      <w:pPr>
        <w:pBdr>
          <w:top w:val="nil"/>
          <w:left w:val="nil"/>
          <w:bottom w:val="nil"/>
          <w:right w:val="nil"/>
          <w:between w:val="nil"/>
        </w:pBdr>
        <w:spacing w:line="276" w:lineRule="auto"/>
        <w:rPr>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Інформація про Учасника: _______________________</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Найменування послуг: ________________________</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Вартість послуг – Вивчивши документацію, на виконання зазначеного вище, ми, уповноважені на подання пропозиції, маємо можливість та погоджуємося виконати вимоги Замовника, зазначені у цій пропозиції  за наступною ціною: ___________________</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До акцепту нашої пропозиції, Ваша документація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цією пропозицією та Договором.</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Ми погоджуємося з умовами, що Замовник може відхилити нашу чи всі пропозиції учасників аукціону згідно з умовами цієї документації, та розуміємо, що Замовник не обмежений у прийнятті будь-якої іншої пропозиції з більш вигідними для нього умовами.</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color w:val="000000"/>
          <w:sz w:val="24"/>
          <w:szCs w:val="24"/>
        </w:rPr>
      </w:pPr>
      <w:r>
        <w:br w:type="page"/>
      </w:r>
    </w:p>
    <w:p w:rsidR="000B463F" w:rsidRDefault="000B463F">
      <w:pPr>
        <w:widowControl w:val="0"/>
        <w:pBdr>
          <w:top w:val="nil"/>
          <w:left w:val="nil"/>
          <w:bottom w:val="nil"/>
          <w:right w:val="nil"/>
          <w:between w:val="nil"/>
        </w:pBdr>
        <w:rPr>
          <w:rFonts w:ascii="Calibri" w:eastAsia="Calibri" w:hAnsi="Calibri" w:cs="Calibri"/>
          <w:color w:val="000000"/>
        </w:rPr>
      </w:pPr>
    </w:p>
    <w:p w:rsidR="000B463F" w:rsidRDefault="000B463F">
      <w:pPr>
        <w:pBdr>
          <w:top w:val="nil"/>
          <w:left w:val="nil"/>
          <w:bottom w:val="nil"/>
          <w:right w:val="nil"/>
          <w:between w:val="nil"/>
        </w:pBdr>
        <w:spacing w:line="276" w:lineRule="auto"/>
        <w:jc w:val="center"/>
        <w:rPr>
          <w:color w:val="000000"/>
          <w:sz w:val="24"/>
          <w:szCs w:val="24"/>
        </w:rPr>
      </w:pPr>
    </w:p>
    <w:sectPr w:rsidR="000B463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6F7" w:rsidRDefault="00AF16F7">
      <w:r>
        <w:separator/>
      </w:r>
    </w:p>
  </w:endnote>
  <w:endnote w:type="continuationSeparator" w:id="0">
    <w:p w:rsidR="00AF16F7" w:rsidRDefault="00AF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6F7" w:rsidRDefault="00AF16F7">
      <w:r>
        <w:separator/>
      </w:r>
    </w:p>
  </w:footnote>
  <w:footnote w:type="continuationSeparator" w:id="0">
    <w:p w:rsidR="00AF16F7" w:rsidRDefault="00AF1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jc w:val="center"/>
      <w:rPr>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648"/>
    <w:multiLevelType w:val="multilevel"/>
    <w:tmpl w:val="DEE47698"/>
    <w:lvl w:ilvl="0">
      <w:start w:val="3"/>
      <w:numFmt w:val="bullet"/>
      <w:pStyle w:val="1"/>
      <w:lvlText w:val="-"/>
      <w:lvlJc w:val="left"/>
      <w:pPr>
        <w:ind w:left="720" w:hanging="360"/>
      </w:pPr>
      <w:rPr>
        <w:rFonts w:ascii="Times New Roman" w:eastAsia="Times New Roman" w:hAnsi="Times New Roman" w:cs="Times New Roman"/>
        <w:vertAlign w:val="baseline"/>
      </w:rPr>
    </w:lvl>
    <w:lvl w:ilvl="1">
      <w:start w:val="1"/>
      <w:numFmt w:val="bullet"/>
      <w:pStyle w:val="2"/>
      <w:lvlText w:val="o"/>
      <w:lvlJc w:val="left"/>
      <w:pPr>
        <w:ind w:left="1440" w:hanging="360"/>
      </w:pPr>
      <w:rPr>
        <w:rFonts w:ascii="Courier New" w:eastAsia="Courier New" w:hAnsi="Courier New" w:cs="Courier New"/>
        <w:vertAlign w:val="baseline"/>
      </w:rPr>
    </w:lvl>
    <w:lvl w:ilvl="2">
      <w:start w:val="1"/>
      <w:numFmt w:val="bullet"/>
      <w:pStyle w:val="3"/>
      <w:lvlText w:val="▪"/>
      <w:lvlJc w:val="left"/>
      <w:pPr>
        <w:ind w:left="2160" w:hanging="360"/>
      </w:pPr>
      <w:rPr>
        <w:rFonts w:ascii="Noto Sans Symbols" w:eastAsia="Noto Sans Symbols" w:hAnsi="Noto Sans Symbols" w:cs="Noto Sans Symbols"/>
        <w:vertAlign w:val="baseline"/>
      </w:rPr>
    </w:lvl>
    <w:lvl w:ilvl="3">
      <w:start w:val="1"/>
      <w:numFmt w:val="bullet"/>
      <w:pStyle w:val="4"/>
      <w:lvlText w:val="●"/>
      <w:lvlJc w:val="left"/>
      <w:pPr>
        <w:ind w:left="2880" w:hanging="360"/>
      </w:pPr>
      <w:rPr>
        <w:rFonts w:ascii="Noto Sans Symbols" w:eastAsia="Noto Sans Symbols" w:hAnsi="Noto Sans Symbols" w:cs="Noto Sans Symbols"/>
        <w:vertAlign w:val="baseline"/>
      </w:rPr>
    </w:lvl>
    <w:lvl w:ilvl="4">
      <w:start w:val="1"/>
      <w:numFmt w:val="bullet"/>
      <w:pStyle w:val="5"/>
      <w:lvlText w:val="o"/>
      <w:lvlJc w:val="left"/>
      <w:pPr>
        <w:ind w:left="3600" w:hanging="360"/>
      </w:pPr>
      <w:rPr>
        <w:rFonts w:ascii="Courier New" w:eastAsia="Courier New" w:hAnsi="Courier New" w:cs="Courier New"/>
        <w:vertAlign w:val="baseline"/>
      </w:rPr>
    </w:lvl>
    <w:lvl w:ilvl="5">
      <w:start w:val="1"/>
      <w:numFmt w:val="bullet"/>
      <w:pStyle w:val="6"/>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3F"/>
    <w:rsid w:val="000B463F"/>
    <w:rsid w:val="001D3AB6"/>
    <w:rsid w:val="003F74B1"/>
    <w:rsid w:val="00491D11"/>
    <w:rsid w:val="005259DC"/>
    <w:rsid w:val="007C79CF"/>
    <w:rsid w:val="0082172C"/>
    <w:rsid w:val="00822E70"/>
    <w:rsid w:val="00AF16F7"/>
    <w:rsid w:val="00B53FBA"/>
    <w:rsid w:val="00D220DC"/>
    <w:rsid w:val="00EF56DD"/>
    <w:rsid w:val="00F27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975E"/>
  <w15:docId w15:val="{4BCC6256-5BF7-4471-BE31-1CD8F0D4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F74B1"/>
  </w:style>
  <w:style w:type="paragraph" w:styleId="1">
    <w:name w:val="heading 1"/>
    <w:basedOn w:val="a0"/>
    <w:next w:val="a0"/>
    <w:pPr>
      <w:keepNext/>
      <w:keepLines/>
      <w:numPr>
        <w:numId w:val="1"/>
      </w:numPr>
      <w:spacing w:before="480" w:after="120"/>
      <w:ind w:left="-1" w:hanging="1"/>
    </w:pPr>
    <w:rPr>
      <w:b/>
      <w:sz w:val="48"/>
      <w:szCs w:val="48"/>
    </w:rPr>
  </w:style>
  <w:style w:type="paragraph" w:styleId="2">
    <w:name w:val="heading 2"/>
    <w:basedOn w:val="a0"/>
    <w:next w:val="a0"/>
    <w:pPr>
      <w:keepNext/>
      <w:keepLines/>
      <w:numPr>
        <w:ilvl w:val="1"/>
        <w:numId w:val="1"/>
      </w:numPr>
      <w:spacing w:before="360" w:after="80"/>
      <w:ind w:left="-1" w:hanging="1"/>
      <w:outlineLvl w:val="1"/>
    </w:pPr>
    <w:rPr>
      <w:b/>
      <w:sz w:val="36"/>
      <w:szCs w:val="36"/>
    </w:rPr>
  </w:style>
  <w:style w:type="paragraph" w:styleId="3">
    <w:name w:val="heading 3"/>
    <w:basedOn w:val="a0"/>
    <w:next w:val="a0"/>
    <w:pPr>
      <w:keepNext/>
      <w:keepLines/>
      <w:numPr>
        <w:ilvl w:val="2"/>
        <w:numId w:val="1"/>
      </w:numPr>
      <w:spacing w:before="280" w:after="80"/>
      <w:ind w:left="-1" w:hanging="1"/>
      <w:outlineLvl w:val="2"/>
    </w:pPr>
    <w:rPr>
      <w:b/>
      <w:sz w:val="28"/>
      <w:szCs w:val="28"/>
    </w:rPr>
  </w:style>
  <w:style w:type="paragraph" w:styleId="4">
    <w:name w:val="heading 4"/>
    <w:basedOn w:val="a0"/>
    <w:next w:val="a0"/>
    <w:pPr>
      <w:keepNext/>
      <w:keepLines/>
      <w:numPr>
        <w:ilvl w:val="3"/>
        <w:numId w:val="1"/>
      </w:numPr>
      <w:spacing w:before="240" w:after="40"/>
      <w:ind w:left="-1" w:hanging="1"/>
      <w:outlineLvl w:val="3"/>
    </w:pPr>
    <w:rPr>
      <w:b/>
      <w:sz w:val="24"/>
      <w:szCs w:val="24"/>
    </w:rPr>
  </w:style>
  <w:style w:type="paragraph" w:styleId="5">
    <w:name w:val="heading 5"/>
    <w:basedOn w:val="a0"/>
    <w:next w:val="a0"/>
    <w:pPr>
      <w:keepNext/>
      <w:keepLines/>
      <w:numPr>
        <w:ilvl w:val="4"/>
        <w:numId w:val="1"/>
      </w:numPr>
      <w:spacing w:before="220" w:after="40"/>
      <w:ind w:left="-1" w:hanging="1"/>
      <w:outlineLvl w:val="4"/>
    </w:pPr>
    <w:rPr>
      <w:b/>
      <w:sz w:val="22"/>
      <w:szCs w:val="22"/>
    </w:rPr>
  </w:style>
  <w:style w:type="paragraph" w:styleId="6">
    <w:name w:val="heading 6"/>
    <w:basedOn w:val="a0"/>
    <w:next w:val="a0"/>
    <w:pPr>
      <w:keepNext/>
      <w:keepLines/>
      <w:numPr>
        <w:ilvl w:val="5"/>
        <w:numId w:val="1"/>
      </w:numPr>
      <w:spacing w:before="200" w:after="40"/>
      <w:ind w:left="-1" w:hanging="1"/>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pPr>
      <w:keepNext/>
      <w:keepLines/>
      <w:spacing w:before="480" w:after="120"/>
    </w:pPr>
    <w:rPr>
      <w:b/>
      <w:sz w:val="72"/>
      <w:szCs w:val="72"/>
    </w:rPr>
  </w:style>
  <w:style w:type="paragraph" w:customStyle="1" w:styleId="a0">
    <w:name w:val="Обычный"/>
    <w:pPr>
      <w:spacing w:line="1" w:lineRule="atLeast"/>
      <w:ind w:leftChars="-1" w:left="-1" w:hangingChars="1" w:hanging="1"/>
      <w:textDirection w:val="btLr"/>
      <w:textAlignment w:val="top"/>
      <w:outlineLvl w:val="0"/>
    </w:pPr>
    <w:rPr>
      <w:rFonts w:ascii="Calibri" w:eastAsia="Calibri" w:hAnsi="Calibri" w:cs="Calibri"/>
      <w:position w:val="-1"/>
      <w:lang w:val="uk-UA" w:eastAsia="zh-CN"/>
    </w:rPr>
  </w:style>
  <w:style w:type="character" w:customStyle="1" w:styleId="a5">
    <w:name w:val="Основной шрифт абзаца"/>
    <w:qFormat/>
    <w:rPr>
      <w:w w:val="100"/>
      <w:position w:val="-1"/>
      <w:effect w:val="none"/>
      <w:vertAlign w:val="baseline"/>
      <w:cs w:val="0"/>
      <w:em w:val="none"/>
    </w:rPr>
  </w:style>
  <w:style w:type="table" w:customStyle="1" w:styleId="a6">
    <w:name w:val="Обычная таблица"/>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т списка"/>
    <w:qFormat/>
  </w:style>
  <w:style w:type="character" w:customStyle="1" w:styleId="WW8Num1z0">
    <w:name w:val="WW8Num1z0"/>
    <w:rPr>
      <w:b/>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0"/>
      <w:sz w:val="24"/>
      <w:szCs w:val="24"/>
      <w:effect w:val="none"/>
      <w:vertAlign w:val="baseline"/>
      <w:cs w:val="0"/>
      <w:em w:val="none"/>
    </w:rPr>
  </w:style>
  <w:style w:type="character" w:customStyle="1" w:styleId="WW8Num3z0">
    <w:name w:val="WW8Num3z0"/>
    <w:rPr>
      <w:rFonts w:ascii="Symbol" w:hAnsi="Symbol" w:cs="Symbol" w:hint="default"/>
      <w:spacing w:val="-2"/>
      <w:w w:val="100"/>
      <w:position w:val="-1"/>
      <w:sz w:val="22"/>
      <w:szCs w:val="22"/>
      <w:highlight w:val="white"/>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imes New Roman" w:hAnsi="Times New Roman" w:cs="Times New Roman" w:hint="default"/>
      <w:bCs/>
      <w:w w:val="100"/>
      <w:position w:val="-1"/>
      <w:sz w:val="24"/>
      <w:szCs w:val="24"/>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b w:val="0"/>
      <w:strike w:val="0"/>
      <w:dstrike w:val="0"/>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Wingdings" w:hAnsi="Wingdings" w:cs="Wingdings"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7">
    <w:name w:val="Основной шрифт абзаца7"/>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50">
    <w:name w:val="Основной шрифт абзаца5"/>
    <w:rPr>
      <w:w w:val="100"/>
      <w:position w:val="-1"/>
      <w:effect w:val="none"/>
      <w:vertAlign w:val="baseline"/>
      <w:cs w:val="0"/>
      <w:em w:val="none"/>
    </w:rPr>
  </w:style>
  <w:style w:type="character" w:customStyle="1" w:styleId="40">
    <w:name w:val="Основной шрифт абзаца4"/>
    <w:rPr>
      <w:w w:val="100"/>
      <w:position w:val="-1"/>
      <w:effect w:val="none"/>
      <w:vertAlign w:val="baseline"/>
      <w:cs w:val="0"/>
      <w:em w:val="none"/>
    </w:rPr>
  </w:style>
  <w:style w:type="character" w:customStyle="1" w:styleId="30">
    <w:name w:val="Основной шрифт абзаца3"/>
    <w:rPr>
      <w:w w:val="100"/>
      <w:position w:val="-1"/>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11">
    <w:name w:val="Гіперпосилання1"/>
    <w:rPr>
      <w:color w:val="0000FF"/>
      <w:w w:val="100"/>
      <w:position w:val="-1"/>
      <w:u w:val="single"/>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a8">
    <w:name w:val="Символ нумерації"/>
    <w:rPr>
      <w:w w:val="100"/>
      <w:position w:val="-1"/>
      <w:effect w:val="none"/>
      <w:vertAlign w:val="baseline"/>
      <w:cs w:val="0"/>
      <w:em w:val="none"/>
    </w:rPr>
  </w:style>
  <w:style w:type="character" w:customStyle="1" w:styleId="60">
    <w:name w:val="Основной шрифт абзаца6"/>
    <w:rPr>
      <w:w w:val="100"/>
      <w:position w:val="-1"/>
      <w:effect w:val="none"/>
      <w:vertAlign w:val="baseline"/>
      <w:cs w:val="0"/>
      <w:em w:val="none"/>
    </w:rPr>
  </w:style>
  <w:style w:type="character" w:customStyle="1" w:styleId="12">
    <w:name w:val="Строгий1"/>
    <w:rPr>
      <w:b/>
      <w:bCs/>
      <w:w w:val="100"/>
      <w:position w:val="-1"/>
      <w:effect w:val="none"/>
      <w:vertAlign w:val="baseline"/>
      <w:cs w:val="0"/>
      <w:em w:val="none"/>
    </w:rPr>
  </w:style>
  <w:style w:type="character" w:customStyle="1" w:styleId="ListLabel4">
    <w:name w:val="ListLabel 4"/>
    <w:rPr>
      <w:rFonts w:ascii="Times New Roman" w:eastAsia="Times New Roman" w:hAnsi="Times New Roman" w:cs="Times New Roman"/>
      <w:w w:val="100"/>
      <w:position w:val="-1"/>
      <w:sz w:val="24"/>
      <w:szCs w:val="24"/>
      <w:highlight w:val="white"/>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a9">
    <w:name w:val="Текст выноски Знак"/>
    <w:rPr>
      <w:rFonts w:ascii="Segoe UI" w:eastAsia="Calibri" w:hAnsi="Segoe UI" w:cs="Segoe UI"/>
      <w:w w:val="100"/>
      <w:position w:val="-1"/>
      <w:sz w:val="18"/>
      <w:szCs w:val="18"/>
      <w:effect w:val="none"/>
      <w:vertAlign w:val="baseline"/>
      <w:cs w:val="0"/>
      <w:em w:val="none"/>
      <w:lang w:val="uk-UA" w:eastAsia="zh-CN"/>
    </w:rPr>
  </w:style>
  <w:style w:type="character" w:customStyle="1" w:styleId="aa">
    <w:name w:val="Нижний колонтитул Знак"/>
    <w:rPr>
      <w:rFonts w:ascii="Calibri" w:eastAsia="Calibri" w:hAnsi="Calibri" w:cs="Calibri"/>
      <w:w w:val="100"/>
      <w:position w:val="-1"/>
      <w:effect w:val="none"/>
      <w:vertAlign w:val="baseline"/>
      <w:cs w:val="0"/>
      <w:em w:val="none"/>
      <w:lang w:eastAsia="zh-CN"/>
    </w:rPr>
  </w:style>
  <w:style w:type="character" w:customStyle="1" w:styleId="ListLabel5">
    <w:name w:val="ListLabel 5"/>
    <w:rPr>
      <w:b/>
      <w:w w:val="100"/>
      <w:position w:val="-1"/>
      <w:effect w:val="none"/>
      <w:vertAlign w:val="baseline"/>
      <w:cs w:val="0"/>
      <w:em w:val="none"/>
    </w:rPr>
  </w:style>
  <w:style w:type="character" w:customStyle="1" w:styleId="ListLabel6">
    <w:name w:val="ListLabel 6"/>
    <w:rPr>
      <w:spacing w:val="-2"/>
      <w:w w:val="100"/>
      <w:position w:val="-1"/>
      <w:sz w:val="22"/>
      <w:szCs w:val="22"/>
      <w:highlight w:val="white"/>
      <w:effect w:val="none"/>
      <w:vertAlign w:val="baseline"/>
      <w:cs w:val="0"/>
      <w:em w:val="none"/>
    </w:rPr>
  </w:style>
  <w:style w:type="character" w:customStyle="1" w:styleId="ListLabel7">
    <w:name w:val="ListLabel 7"/>
    <w:rPr>
      <w:w w:val="100"/>
      <w:position w:val="0"/>
      <w:sz w:val="24"/>
      <w:szCs w:val="24"/>
      <w:effect w:val="none"/>
      <w:vertAlign w:val="baseline"/>
      <w:cs w:val="0"/>
      <w:em w:val="none"/>
    </w:rPr>
  </w:style>
  <w:style w:type="character" w:customStyle="1" w:styleId="ListLabel8">
    <w:name w:val="ListLabel 8"/>
    <w:rPr>
      <w:w w:val="100"/>
      <w:position w:val="0"/>
      <w:sz w:val="24"/>
      <w:szCs w:val="24"/>
      <w:effect w:val="none"/>
      <w:vertAlign w:val="baseline"/>
      <w:cs w:val="0"/>
      <w:em w:val="none"/>
    </w:rPr>
  </w:style>
  <w:style w:type="character" w:customStyle="1" w:styleId="ListLabel9">
    <w:name w:val="ListLabel 9"/>
    <w:rPr>
      <w:w w:val="100"/>
      <w:position w:val="0"/>
      <w:sz w:val="24"/>
      <w:szCs w:val="24"/>
      <w:effect w:val="none"/>
      <w:vertAlign w:val="baseline"/>
      <w:cs w:val="0"/>
      <w:em w:val="none"/>
    </w:rPr>
  </w:style>
  <w:style w:type="character" w:customStyle="1" w:styleId="ListLabel10">
    <w:name w:val="ListLabel 10"/>
    <w:rPr>
      <w:w w:val="100"/>
      <w:position w:val="0"/>
      <w:sz w:val="24"/>
      <w:szCs w:val="24"/>
      <w:effect w:val="none"/>
      <w:vertAlign w:val="baseline"/>
      <w:cs w:val="0"/>
      <w:em w:val="none"/>
    </w:rPr>
  </w:style>
  <w:style w:type="character" w:customStyle="1" w:styleId="ListLabel11">
    <w:name w:val="ListLabel 11"/>
    <w:rPr>
      <w:w w:val="100"/>
      <w:position w:val="0"/>
      <w:sz w:val="24"/>
      <w:szCs w:val="24"/>
      <w:effect w:val="none"/>
      <w:vertAlign w:val="baseline"/>
      <w:cs w:val="0"/>
      <w:em w:val="none"/>
    </w:rPr>
  </w:style>
  <w:style w:type="character" w:customStyle="1" w:styleId="ListLabel12">
    <w:name w:val="ListLabel 12"/>
    <w:rPr>
      <w:w w:val="100"/>
      <w:position w:val="0"/>
      <w:sz w:val="24"/>
      <w:szCs w:val="24"/>
      <w:effect w:val="none"/>
      <w:vertAlign w:val="baseline"/>
      <w:cs w:val="0"/>
      <w:em w:val="none"/>
    </w:rPr>
  </w:style>
  <w:style w:type="character" w:customStyle="1" w:styleId="ListLabel13">
    <w:name w:val="ListLabel 13"/>
    <w:rPr>
      <w:w w:val="100"/>
      <w:position w:val="0"/>
      <w:sz w:val="24"/>
      <w:szCs w:val="24"/>
      <w:effect w:val="none"/>
      <w:vertAlign w:val="baseline"/>
      <w:cs w:val="0"/>
      <w:em w:val="none"/>
    </w:rPr>
  </w:style>
  <w:style w:type="character" w:customStyle="1" w:styleId="ListLabel14">
    <w:name w:val="ListLabel 14"/>
    <w:rPr>
      <w:w w:val="100"/>
      <w:position w:val="0"/>
      <w:sz w:val="24"/>
      <w:szCs w:val="24"/>
      <w:effect w:val="none"/>
      <w:vertAlign w:val="baseline"/>
      <w:cs w:val="0"/>
      <w:em w:val="none"/>
    </w:rPr>
  </w:style>
  <w:style w:type="character" w:customStyle="1" w:styleId="ListLabel15">
    <w:name w:val="ListLabel 15"/>
    <w:rPr>
      <w:w w:val="100"/>
      <w:position w:val="0"/>
      <w:sz w:val="24"/>
      <w:szCs w:val="24"/>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9">
    <w:name w:val="ListLabel 19"/>
    <w:rPr>
      <w:w w:val="100"/>
      <w:position w:val="-1"/>
      <w:effect w:val="none"/>
      <w:vertAlign w:val="baseline"/>
      <w:cs w:val="0"/>
      <w:em w:val="none"/>
    </w:rPr>
  </w:style>
  <w:style w:type="character" w:customStyle="1" w:styleId="ListLabel20">
    <w:name w:val="ListLabel 20"/>
    <w:rPr>
      <w:w w:val="100"/>
      <w:position w:val="-1"/>
      <w:effect w:val="none"/>
      <w:vertAlign w:val="baseline"/>
      <w:cs w:val="0"/>
      <w:em w:val="none"/>
    </w:rPr>
  </w:style>
  <w:style w:type="character" w:customStyle="1" w:styleId="ListLabel21">
    <w:name w:val="ListLabel 21"/>
    <w:rPr>
      <w:w w:val="100"/>
      <w:position w:val="-1"/>
      <w:effect w:val="none"/>
      <w:vertAlign w:val="baseline"/>
      <w:cs w:val="0"/>
      <w:em w:val="none"/>
    </w:rPr>
  </w:style>
  <w:style w:type="character" w:customStyle="1" w:styleId="ListLabel22">
    <w:name w:val="ListLabel 22"/>
    <w:rPr>
      <w:w w:val="100"/>
      <w:position w:val="-1"/>
      <w:effect w:val="none"/>
      <w:vertAlign w:val="baseline"/>
      <w:cs w:val="0"/>
      <w:em w:val="none"/>
    </w:rPr>
  </w:style>
  <w:style w:type="character" w:customStyle="1" w:styleId="ListLabel23">
    <w:name w:val="ListLabel 23"/>
    <w:rPr>
      <w:w w:val="100"/>
      <w:position w:val="-1"/>
      <w:effect w:val="none"/>
      <w:vertAlign w:val="baseline"/>
      <w:cs w:val="0"/>
      <w:em w:val="none"/>
    </w:rPr>
  </w:style>
  <w:style w:type="character" w:customStyle="1" w:styleId="ListLabel24">
    <w:name w:val="ListLabel 24"/>
    <w:rPr>
      <w:w w:val="100"/>
      <w:position w:val="-1"/>
      <w:effect w:val="none"/>
      <w:vertAlign w:val="baseline"/>
      <w:cs w:val="0"/>
      <w:em w:val="none"/>
    </w:rPr>
  </w:style>
  <w:style w:type="character" w:customStyle="1" w:styleId="ListLabel25">
    <w:name w:val="ListLabel 25"/>
    <w:rPr>
      <w:w w:val="100"/>
      <w:position w:val="-1"/>
      <w:effect w:val="none"/>
      <w:vertAlign w:val="baseline"/>
      <w:cs w:val="0"/>
      <w:em w:val="none"/>
    </w:rPr>
  </w:style>
  <w:style w:type="character" w:customStyle="1" w:styleId="ListLabel26">
    <w:name w:val="ListLabel 26"/>
    <w:rPr>
      <w:b/>
      <w:w w:val="100"/>
      <w:position w:val="-1"/>
      <w:effect w:val="none"/>
      <w:vertAlign w:val="baseline"/>
      <w:cs w:val="0"/>
      <w:em w:val="none"/>
    </w:rPr>
  </w:style>
  <w:style w:type="character" w:customStyle="1" w:styleId="ListLabel27">
    <w:name w:val="ListLabel 27"/>
    <w:rPr>
      <w:spacing w:val="-2"/>
      <w:w w:val="100"/>
      <w:position w:val="-1"/>
      <w:sz w:val="22"/>
      <w:szCs w:val="22"/>
      <w:highlight w:val="white"/>
      <w:effect w:val="none"/>
      <w:vertAlign w:val="baseline"/>
      <w:cs w:val="0"/>
      <w:em w:val="none"/>
    </w:rPr>
  </w:style>
  <w:style w:type="character" w:customStyle="1" w:styleId="ListLabel28">
    <w:name w:val="ListLabel 28"/>
    <w:rPr>
      <w:w w:val="100"/>
      <w:position w:val="0"/>
      <w:sz w:val="24"/>
      <w:szCs w:val="24"/>
      <w:effect w:val="none"/>
      <w:vertAlign w:val="baseline"/>
      <w:cs w:val="0"/>
      <w:em w:val="none"/>
    </w:rPr>
  </w:style>
  <w:style w:type="character" w:customStyle="1" w:styleId="ListLabel29">
    <w:name w:val="ListLabel 29"/>
    <w:rPr>
      <w:w w:val="100"/>
      <w:position w:val="0"/>
      <w:sz w:val="24"/>
      <w:szCs w:val="24"/>
      <w:effect w:val="none"/>
      <w:vertAlign w:val="baseline"/>
      <w:cs w:val="0"/>
      <w:em w:val="none"/>
    </w:rPr>
  </w:style>
  <w:style w:type="character" w:customStyle="1" w:styleId="ListLabel30">
    <w:name w:val="ListLabel 30"/>
    <w:rPr>
      <w:w w:val="100"/>
      <w:position w:val="0"/>
      <w:sz w:val="24"/>
      <w:szCs w:val="24"/>
      <w:effect w:val="none"/>
      <w:vertAlign w:val="baseline"/>
      <w:cs w:val="0"/>
      <w:em w:val="none"/>
    </w:rPr>
  </w:style>
  <w:style w:type="character" w:customStyle="1" w:styleId="ListLabel31">
    <w:name w:val="ListLabel 31"/>
    <w:rPr>
      <w:w w:val="100"/>
      <w:position w:val="0"/>
      <w:sz w:val="24"/>
      <w:szCs w:val="24"/>
      <w:effect w:val="none"/>
      <w:vertAlign w:val="baseline"/>
      <w:cs w:val="0"/>
      <w:em w:val="none"/>
    </w:rPr>
  </w:style>
  <w:style w:type="character" w:customStyle="1" w:styleId="ListLabel32">
    <w:name w:val="ListLabel 32"/>
    <w:rPr>
      <w:w w:val="100"/>
      <w:position w:val="0"/>
      <w:sz w:val="24"/>
      <w:szCs w:val="24"/>
      <w:effect w:val="none"/>
      <w:vertAlign w:val="baseline"/>
      <w:cs w:val="0"/>
      <w:em w:val="none"/>
    </w:rPr>
  </w:style>
  <w:style w:type="character" w:customStyle="1" w:styleId="ListLabel33">
    <w:name w:val="ListLabel 33"/>
    <w:rPr>
      <w:w w:val="100"/>
      <w:position w:val="0"/>
      <w:sz w:val="24"/>
      <w:szCs w:val="24"/>
      <w:effect w:val="none"/>
      <w:vertAlign w:val="baseline"/>
      <w:cs w:val="0"/>
      <w:em w:val="none"/>
    </w:rPr>
  </w:style>
  <w:style w:type="character" w:customStyle="1" w:styleId="ListLabel34">
    <w:name w:val="ListLabel 34"/>
    <w:rPr>
      <w:w w:val="100"/>
      <w:position w:val="0"/>
      <w:sz w:val="24"/>
      <w:szCs w:val="24"/>
      <w:effect w:val="none"/>
      <w:vertAlign w:val="baseline"/>
      <w:cs w:val="0"/>
      <w:em w:val="none"/>
    </w:rPr>
  </w:style>
  <w:style w:type="character" w:customStyle="1" w:styleId="ListLabel35">
    <w:name w:val="ListLabel 35"/>
    <w:rPr>
      <w:w w:val="100"/>
      <w:position w:val="0"/>
      <w:sz w:val="24"/>
      <w:szCs w:val="24"/>
      <w:effect w:val="none"/>
      <w:vertAlign w:val="baseline"/>
      <w:cs w:val="0"/>
      <w:em w:val="none"/>
    </w:rPr>
  </w:style>
  <w:style w:type="character" w:customStyle="1" w:styleId="ListLabel36">
    <w:name w:val="ListLabel 36"/>
    <w:rPr>
      <w:w w:val="100"/>
      <w:position w:val="0"/>
      <w:sz w:val="24"/>
      <w:szCs w:val="24"/>
      <w:effect w:val="none"/>
      <w:vertAlign w:val="baseline"/>
      <w:cs w:val="0"/>
      <w:em w:val="none"/>
    </w:rPr>
  </w:style>
  <w:style w:type="character" w:customStyle="1" w:styleId="ListLabel37">
    <w:name w:val="ListLabel 37"/>
    <w:rPr>
      <w:w w:val="100"/>
      <w:position w:val="-1"/>
      <w:effect w:val="none"/>
      <w:vertAlign w:val="baseline"/>
      <w:cs w:val="0"/>
      <w:em w:val="none"/>
    </w:rPr>
  </w:style>
  <w:style w:type="character" w:customStyle="1" w:styleId="ListLabel38">
    <w:name w:val="ListLabel 38"/>
    <w:rPr>
      <w:w w:val="100"/>
      <w:position w:val="-1"/>
      <w:effect w:val="none"/>
      <w:vertAlign w:val="baseline"/>
      <w:cs w:val="0"/>
      <w:em w:val="none"/>
    </w:rPr>
  </w:style>
  <w:style w:type="character" w:customStyle="1" w:styleId="ListLabel39">
    <w:name w:val="ListLabel 39"/>
    <w:rPr>
      <w:w w:val="100"/>
      <w:position w:val="-1"/>
      <w:effect w:val="none"/>
      <w:vertAlign w:val="baseline"/>
      <w:cs w:val="0"/>
      <w:em w:val="none"/>
    </w:rPr>
  </w:style>
  <w:style w:type="character" w:customStyle="1" w:styleId="ListLabel40">
    <w:name w:val="ListLabel 40"/>
    <w:rPr>
      <w:w w:val="100"/>
      <w:position w:val="-1"/>
      <w:effect w:val="none"/>
      <w:vertAlign w:val="baseline"/>
      <w:cs w:val="0"/>
      <w:em w:val="none"/>
    </w:rPr>
  </w:style>
  <w:style w:type="character" w:customStyle="1" w:styleId="ListLabel41">
    <w:name w:val="ListLabel 41"/>
    <w:rPr>
      <w:w w:val="100"/>
      <w:position w:val="-1"/>
      <w:effect w:val="none"/>
      <w:vertAlign w:val="baseline"/>
      <w:cs w:val="0"/>
      <w:em w:val="none"/>
    </w:rPr>
  </w:style>
  <w:style w:type="character" w:customStyle="1" w:styleId="ListLabel42">
    <w:name w:val="ListLabel 42"/>
    <w:rPr>
      <w:w w:val="100"/>
      <w:position w:val="-1"/>
      <w:effect w:val="none"/>
      <w:vertAlign w:val="baseline"/>
      <w:cs w:val="0"/>
      <w:em w:val="none"/>
    </w:rPr>
  </w:style>
  <w:style w:type="character" w:customStyle="1" w:styleId="ListLabel43">
    <w:name w:val="ListLabel 43"/>
    <w:rPr>
      <w:w w:val="100"/>
      <w:position w:val="-1"/>
      <w:effect w:val="none"/>
      <w:vertAlign w:val="baseline"/>
      <w:cs w:val="0"/>
      <w:em w:val="none"/>
    </w:rPr>
  </w:style>
  <w:style w:type="character" w:customStyle="1" w:styleId="ListLabel44">
    <w:name w:val="ListLabel 44"/>
    <w:rPr>
      <w:w w:val="100"/>
      <w:position w:val="-1"/>
      <w:effect w:val="none"/>
      <w:vertAlign w:val="baseline"/>
      <w:cs w:val="0"/>
      <w:em w:val="none"/>
    </w:rPr>
  </w:style>
  <w:style w:type="character" w:customStyle="1" w:styleId="ListLabel45">
    <w:name w:val="ListLabel 45"/>
    <w:rPr>
      <w:w w:val="100"/>
      <w:position w:val="-1"/>
      <w:effect w:val="none"/>
      <w:vertAlign w:val="baseline"/>
      <w:cs w:val="0"/>
      <w:em w:val="none"/>
    </w:rPr>
  </w:style>
  <w:style w:type="character" w:customStyle="1" w:styleId="ListLabel46">
    <w:name w:val="ListLabel 46"/>
    <w:rPr>
      <w:w w:val="100"/>
      <w:position w:val="-1"/>
      <w:effect w:val="none"/>
      <w:vertAlign w:val="baseline"/>
      <w:cs w:val="0"/>
      <w:em w:val="none"/>
    </w:rPr>
  </w:style>
  <w:style w:type="character" w:customStyle="1" w:styleId="21">
    <w:name w:val="Основной текст 2 Знак"/>
    <w:rPr>
      <w:rFonts w:ascii="Calibri" w:eastAsia="Calibri" w:hAnsi="Calibri" w:cs="Calibri"/>
      <w:w w:val="100"/>
      <w:position w:val="-1"/>
      <w:effect w:val="none"/>
      <w:vertAlign w:val="baseline"/>
      <w:cs w:val="0"/>
      <w:em w:val="none"/>
      <w:lang w:eastAsia="zh-CN"/>
    </w:rPr>
  </w:style>
  <w:style w:type="character" w:customStyle="1" w:styleId="ab">
    <w:name w:val="Обычный (веб) Знак"/>
    <w:rPr>
      <w:w w:val="100"/>
      <w:position w:val="-1"/>
      <w:sz w:val="24"/>
      <w:szCs w:val="24"/>
      <w:effect w:val="none"/>
      <w:vertAlign w:val="baseline"/>
      <w:cs w:val="0"/>
      <w:em w:val="none"/>
    </w:rPr>
  </w:style>
  <w:style w:type="character" w:customStyle="1" w:styleId="ac">
    <w:name w:val="Гиперссылка"/>
    <w:rPr>
      <w:color w:val="000080"/>
      <w:w w:val="100"/>
      <w:position w:val="-1"/>
      <w:u w:val="single"/>
      <w:effect w:val="none"/>
      <w:vertAlign w:val="baseline"/>
      <w:cs w:val="0"/>
      <w:em w:val="none"/>
    </w:rPr>
  </w:style>
  <w:style w:type="paragraph" w:customStyle="1" w:styleId="ad">
    <w:name w:val="Заголовок"/>
    <w:basedOn w:val="a0"/>
    <w:next w:val="ae"/>
    <w:pPr>
      <w:keepNext/>
      <w:spacing w:before="240" w:after="120"/>
    </w:pPr>
    <w:rPr>
      <w:rFonts w:ascii="Liberation Sans" w:eastAsia="Microsoft YaHei" w:hAnsi="Liberation Sans" w:cs="Arial"/>
      <w:sz w:val="28"/>
      <w:szCs w:val="28"/>
    </w:rPr>
  </w:style>
  <w:style w:type="paragraph" w:customStyle="1" w:styleId="ae">
    <w:name w:val="Основной текст"/>
    <w:basedOn w:val="a0"/>
    <w:pPr>
      <w:spacing w:after="140" w:line="276" w:lineRule="auto"/>
    </w:pPr>
  </w:style>
  <w:style w:type="paragraph" w:styleId="af">
    <w:name w:val="List"/>
    <w:basedOn w:val="ae"/>
    <w:rPr>
      <w:rFonts w:cs="Arial"/>
    </w:rPr>
  </w:style>
  <w:style w:type="paragraph" w:customStyle="1" w:styleId="af0">
    <w:name w:val="Название объекта"/>
    <w:basedOn w:val="a0"/>
    <w:pPr>
      <w:suppressLineNumbers/>
      <w:spacing w:before="120" w:after="120"/>
    </w:pPr>
    <w:rPr>
      <w:rFonts w:cs="Arial"/>
      <w:i/>
      <w:iCs/>
      <w:sz w:val="24"/>
      <w:szCs w:val="24"/>
    </w:rPr>
  </w:style>
  <w:style w:type="paragraph" w:customStyle="1" w:styleId="af1">
    <w:name w:val="Покажчик"/>
    <w:basedOn w:val="a0"/>
    <w:pPr>
      <w:suppressLineNumbers/>
    </w:pPr>
    <w:rPr>
      <w:rFonts w:cs="Arial"/>
    </w:rPr>
  </w:style>
  <w:style w:type="paragraph" w:customStyle="1" w:styleId="51">
    <w:name w:val="Название объекта5"/>
    <w:basedOn w:val="a0"/>
    <w:pPr>
      <w:suppressLineNumbers/>
      <w:spacing w:before="120" w:after="120"/>
    </w:pPr>
    <w:rPr>
      <w:rFonts w:cs="Arial"/>
      <w:i/>
      <w:iCs/>
      <w:sz w:val="24"/>
      <w:szCs w:val="24"/>
    </w:rPr>
  </w:style>
  <w:style w:type="paragraph" w:customStyle="1" w:styleId="22">
    <w:name w:val="Заголовок2"/>
    <w:basedOn w:val="a0"/>
    <w:next w:val="ae"/>
    <w:pPr>
      <w:keepNext/>
      <w:spacing w:before="240" w:after="120"/>
    </w:pPr>
    <w:rPr>
      <w:rFonts w:ascii="Liberation Sans" w:eastAsia="Microsoft YaHei" w:hAnsi="Liberation Sans" w:cs="Arial"/>
      <w:sz w:val="28"/>
      <w:szCs w:val="28"/>
    </w:rPr>
  </w:style>
  <w:style w:type="paragraph" w:customStyle="1" w:styleId="41">
    <w:name w:val="Название объекта4"/>
    <w:basedOn w:val="a0"/>
    <w:pPr>
      <w:suppressLineNumbers/>
      <w:spacing w:before="120" w:after="120"/>
    </w:pPr>
    <w:rPr>
      <w:rFonts w:cs="Arial"/>
      <w:i/>
      <w:iCs/>
      <w:sz w:val="24"/>
      <w:szCs w:val="24"/>
    </w:rPr>
  </w:style>
  <w:style w:type="paragraph" w:customStyle="1" w:styleId="31">
    <w:name w:val="Название объекта3"/>
    <w:basedOn w:val="a0"/>
    <w:pPr>
      <w:suppressLineNumbers/>
      <w:spacing w:before="120" w:after="120"/>
    </w:pPr>
    <w:rPr>
      <w:rFonts w:cs="Arial"/>
      <w:i/>
      <w:iCs/>
      <w:sz w:val="24"/>
      <w:szCs w:val="24"/>
    </w:rPr>
  </w:style>
  <w:style w:type="paragraph" w:customStyle="1" w:styleId="23">
    <w:name w:val="Название объекта2"/>
    <w:basedOn w:val="a0"/>
    <w:pPr>
      <w:suppressLineNumbers/>
      <w:spacing w:before="120" w:after="120"/>
    </w:pPr>
    <w:rPr>
      <w:rFonts w:cs="Arial"/>
      <w:i/>
      <w:iCs/>
      <w:sz w:val="24"/>
      <w:szCs w:val="24"/>
    </w:rPr>
  </w:style>
  <w:style w:type="paragraph" w:customStyle="1" w:styleId="13">
    <w:name w:val="Заголовок1"/>
    <w:basedOn w:val="a0"/>
    <w:next w:val="a0"/>
    <w:pPr>
      <w:keepNext/>
      <w:keepLines/>
      <w:spacing w:before="480" w:after="120"/>
    </w:pPr>
    <w:rPr>
      <w:b/>
      <w:sz w:val="72"/>
      <w:szCs w:val="72"/>
    </w:rPr>
  </w:style>
  <w:style w:type="paragraph" w:customStyle="1" w:styleId="14">
    <w:name w:val="Название объекта1"/>
    <w:basedOn w:val="a0"/>
    <w:pPr>
      <w:suppressLineNumbers/>
      <w:spacing w:before="120" w:after="120"/>
    </w:pPr>
    <w:rPr>
      <w:rFonts w:cs="Arial"/>
      <w:i/>
      <w:iCs/>
      <w:sz w:val="24"/>
      <w:szCs w:val="24"/>
    </w:rPr>
  </w:style>
  <w:style w:type="paragraph" w:customStyle="1" w:styleId="af2">
    <w:name w:val="Подзаголовок"/>
    <w:basedOn w:val="a0"/>
    <w:next w:val="a0"/>
    <w:pPr>
      <w:keepNext/>
      <w:keepLines/>
      <w:spacing w:before="360" w:after="80"/>
    </w:pPr>
    <w:rPr>
      <w:rFonts w:ascii="Georgia" w:eastAsia="Georgia" w:hAnsi="Georgia" w:cs="Georgia"/>
      <w:i/>
      <w:color w:val="666666"/>
      <w:sz w:val="48"/>
      <w:szCs w:val="48"/>
    </w:rPr>
  </w:style>
  <w:style w:type="paragraph" w:customStyle="1" w:styleId="af3">
    <w:name w:val="Абзац списка"/>
    <w:basedOn w:val="a0"/>
    <w:pPr>
      <w:spacing w:after="200" w:line="276" w:lineRule="auto"/>
      <w:ind w:left="720" w:firstLine="0"/>
      <w:contextualSpacing/>
    </w:pPr>
    <w:rPr>
      <w:rFonts w:eastAsia="Times New Roman" w:cs="Times New Roman"/>
      <w:sz w:val="22"/>
      <w:szCs w:val="22"/>
    </w:rPr>
  </w:style>
  <w:style w:type="paragraph" w:customStyle="1" w:styleId="rvps14">
    <w:name w:val="rvps14"/>
    <w:basedOn w:val="a0"/>
    <w:pPr>
      <w:spacing w:before="280" w:after="280"/>
    </w:pPr>
    <w:rPr>
      <w:rFonts w:ascii="Times New Roman" w:eastAsia="Times New Roman" w:hAnsi="Times New Roman" w:cs="Times New Roman"/>
      <w:sz w:val="24"/>
      <w:szCs w:val="24"/>
    </w:rPr>
  </w:style>
  <w:style w:type="paragraph" w:customStyle="1" w:styleId="af4">
    <w:name w:val="Вміст таблиці"/>
    <w:basedOn w:val="a0"/>
    <w:pPr>
      <w:suppressLineNumbers/>
    </w:pPr>
  </w:style>
  <w:style w:type="paragraph" w:customStyle="1" w:styleId="af5">
    <w:name w:val="Заголовок таблиці"/>
    <w:basedOn w:val="af4"/>
    <w:pPr>
      <w:jc w:val="center"/>
    </w:pPr>
    <w:rPr>
      <w:b/>
      <w:bCs/>
    </w:rPr>
  </w:style>
  <w:style w:type="paragraph" w:customStyle="1" w:styleId="af6">
    <w:name w:val="Верхний колонтитул"/>
    <w:basedOn w:val="a0"/>
    <w:pPr>
      <w:suppressLineNumbers/>
    </w:pPr>
  </w:style>
  <w:style w:type="paragraph" w:customStyle="1" w:styleId="15">
    <w:name w:val="Обычный1"/>
    <w:pPr>
      <w:spacing w:line="1" w:lineRule="atLeast"/>
      <w:ind w:leftChars="-1" w:left="-1" w:hangingChars="1" w:hanging="1"/>
      <w:textDirection w:val="btLr"/>
      <w:textAlignment w:val="top"/>
      <w:outlineLvl w:val="0"/>
    </w:pPr>
    <w:rPr>
      <w:rFonts w:ascii="Liberation Serif" w:eastAsia="NSimSun" w:hAnsi="Liberation Serif" w:cs="Arial"/>
      <w:position w:val="-1"/>
      <w:sz w:val="24"/>
      <w:szCs w:val="24"/>
      <w:lang w:val="uk-UA" w:eastAsia="zh-CN" w:bidi="hi-IN"/>
    </w:rPr>
  </w:style>
  <w:style w:type="paragraph" w:customStyle="1" w:styleId="16">
    <w:name w:val="Абзац списка1"/>
    <w:basedOn w:val="a0"/>
    <w:pPr>
      <w:spacing w:after="200"/>
      <w:ind w:left="720" w:firstLine="0"/>
      <w:contextualSpacing/>
    </w:pPr>
  </w:style>
  <w:style w:type="paragraph" w:customStyle="1" w:styleId="rvps2">
    <w:name w:val="rvps2"/>
    <w:basedOn w:val="a0"/>
    <w:pPr>
      <w:spacing w:before="280" w:after="280"/>
    </w:pPr>
    <w:rPr>
      <w:rFonts w:ascii="Times New Roman" w:hAnsi="Times New Roman" w:cs="Times New Roman"/>
      <w:sz w:val="24"/>
      <w:szCs w:val="24"/>
    </w:rPr>
  </w:style>
  <w:style w:type="paragraph" w:customStyle="1" w:styleId="af7">
    <w:name w:val="Текст выноски"/>
    <w:basedOn w:val="a0"/>
    <w:rPr>
      <w:rFonts w:ascii="Segoe UI" w:hAnsi="Segoe UI" w:cs="Segoe UI"/>
      <w:sz w:val="18"/>
      <w:szCs w:val="18"/>
    </w:rPr>
  </w:style>
  <w:style w:type="paragraph" w:customStyle="1" w:styleId="af8">
    <w:name w:val="Нижний колонтитул"/>
    <w:basedOn w:val="a0"/>
  </w:style>
  <w:style w:type="paragraph" w:customStyle="1" w:styleId="210">
    <w:name w:val="Основной текст 21"/>
    <w:basedOn w:val="a0"/>
    <w:pPr>
      <w:spacing w:after="120" w:line="480" w:lineRule="auto"/>
    </w:pPr>
  </w:style>
  <w:style w:type="paragraph" w:customStyle="1" w:styleId="af9">
    <w:name w:val="Обычный (веб)"/>
    <w:basedOn w:val="a0"/>
    <w:pPr>
      <w:suppressAutoHyphens/>
      <w:spacing w:before="280" w:after="280"/>
    </w:pPr>
    <w:rPr>
      <w:rFonts w:ascii="Times New Roman" w:eastAsia="Times New Roman" w:hAnsi="Times New Roman" w:cs="Times New Roman"/>
      <w:sz w:val="24"/>
      <w:szCs w:val="24"/>
    </w:rPr>
  </w:style>
  <w:style w:type="table" w:customStyle="1" w:styleId="afa">
    <w:name w:val="Сетка таблицы"/>
    <w:basedOn w:val="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Без интервала"/>
    <w:pPr>
      <w:spacing w:line="1" w:lineRule="atLeast"/>
      <w:ind w:leftChars="-1" w:left="-1" w:hangingChars="1" w:hanging="1"/>
      <w:textDirection w:val="btLr"/>
      <w:textAlignment w:val="top"/>
      <w:outlineLvl w:val="0"/>
    </w:pPr>
    <w:rPr>
      <w:rFonts w:ascii="Calibri" w:eastAsia="Calibri" w:hAnsi="Calibri" w:cs="Calibri"/>
      <w:position w:val="-1"/>
      <w:sz w:val="22"/>
      <w:szCs w:val="22"/>
      <w:lang w:val="uk-UA" w:eastAsia="zh-CN"/>
    </w:rPr>
  </w:style>
  <w:style w:type="character" w:customStyle="1" w:styleId="afc">
    <w:name w:val="Без интервала Знак"/>
    <w:rPr>
      <w:rFonts w:ascii="Calibri" w:eastAsia="Calibri" w:hAnsi="Calibri" w:cs="Calibri"/>
      <w:w w:val="100"/>
      <w:position w:val="-1"/>
      <w:sz w:val="22"/>
      <w:szCs w:val="22"/>
      <w:effect w:val="none"/>
      <w:vertAlign w:val="baseline"/>
      <w:cs w:val="0"/>
      <w:em w:val="none"/>
      <w:lang w:val="uk-UA" w:eastAsia="zh-CN"/>
    </w:rPr>
  </w:style>
  <w:style w:type="character" w:customStyle="1" w:styleId="afd">
    <w:name w:val="Знак примечания"/>
    <w:qFormat/>
    <w:rPr>
      <w:w w:val="100"/>
      <w:position w:val="-1"/>
      <w:sz w:val="16"/>
      <w:szCs w:val="16"/>
      <w:effect w:val="none"/>
      <w:vertAlign w:val="baseline"/>
      <w:cs w:val="0"/>
      <w:em w:val="none"/>
    </w:rPr>
  </w:style>
  <w:style w:type="paragraph" w:customStyle="1" w:styleId="afe">
    <w:name w:val="Текст примечания"/>
    <w:basedOn w:val="a0"/>
    <w:qFormat/>
  </w:style>
  <w:style w:type="character" w:customStyle="1" w:styleId="aff">
    <w:name w:val="Текст примечания Знак"/>
    <w:rPr>
      <w:rFonts w:ascii="Calibri" w:eastAsia="Calibri" w:hAnsi="Calibri" w:cs="Calibri"/>
      <w:w w:val="100"/>
      <w:position w:val="-1"/>
      <w:effect w:val="none"/>
      <w:vertAlign w:val="baseline"/>
      <w:cs w:val="0"/>
      <w:em w:val="none"/>
      <w:lang w:val="uk-UA" w:eastAsia="zh-CN"/>
    </w:rPr>
  </w:style>
  <w:style w:type="paragraph" w:customStyle="1" w:styleId="aff0">
    <w:name w:val="Тема примечания"/>
    <w:basedOn w:val="afe"/>
    <w:next w:val="afe"/>
    <w:qFormat/>
    <w:rPr>
      <w:b/>
      <w:bCs/>
    </w:rPr>
  </w:style>
  <w:style w:type="character" w:customStyle="1" w:styleId="aff1">
    <w:name w:val="Тема примечания Знак"/>
    <w:rPr>
      <w:rFonts w:ascii="Calibri" w:eastAsia="Calibri" w:hAnsi="Calibri" w:cs="Calibri"/>
      <w:b/>
      <w:bCs/>
      <w:w w:val="100"/>
      <w:position w:val="-1"/>
      <w:effect w:val="none"/>
      <w:vertAlign w:val="baseline"/>
      <w:cs w:val="0"/>
      <w:em w:val="none"/>
      <w:lang w:val="uk-UA" w:eastAsia="zh-CN"/>
    </w:rPr>
  </w:style>
  <w:style w:type="character" w:customStyle="1" w:styleId="aff2">
    <w:name w:val="Неразрешенное упоминание"/>
    <w:qFormat/>
    <w:rPr>
      <w:color w:val="605E5C"/>
      <w:w w:val="100"/>
      <w:position w:val="-1"/>
      <w:effect w:val="none"/>
      <w:shd w:val="clear" w:color="auto" w:fill="E1DFDD"/>
      <w:vertAlign w:val="baseline"/>
      <w:cs w:val="0"/>
      <w:em w:val="none"/>
    </w:rPr>
  </w:style>
  <w:style w:type="character" w:customStyle="1" w:styleId="aff3">
    <w:name w:val="Просмотренная гиперссылка"/>
    <w:qFormat/>
    <w:rPr>
      <w:color w:val="954F72"/>
      <w:w w:val="100"/>
      <w:position w:val="-1"/>
      <w:u w:val="single"/>
      <w:effect w:val="none"/>
      <w:vertAlign w:val="baseline"/>
      <w:cs w:val="0"/>
      <w:em w:val="none"/>
    </w:rPr>
  </w:style>
  <w:style w:type="character" w:styleId="aff4">
    <w:name w:val="Strong"/>
    <w:rPr>
      <w:b/>
      <w:bCs/>
      <w:w w:val="100"/>
      <w:position w:val="-1"/>
      <w:effect w:val="none"/>
      <w:vertAlign w:val="baseline"/>
      <w:cs w:val="0"/>
      <w:em w:val="none"/>
    </w:rPr>
  </w:style>
  <w:style w:type="character" w:customStyle="1" w:styleId="apple-converted-space">
    <w:name w:val="apple-converted-space"/>
    <w:basedOn w:val="a5"/>
    <w:rPr>
      <w:w w:val="100"/>
      <w:position w:val="-1"/>
      <w:effect w:val="none"/>
      <w:vertAlign w:val="baseline"/>
      <w:cs w:val="0"/>
      <w:em w:val="none"/>
    </w:rPr>
  </w:style>
  <w:style w:type="paragraph" w:styleId="aff5">
    <w:name w:val="Subtitle"/>
    <w:basedOn w:val="a"/>
    <w:next w:val="a"/>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244M07uW+wYFaZQACbG/jLz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XY4NWJUTXpPeFZMTjI5aHZFTERzLWF3V2ZiNF9lN0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9826</Words>
  <Characters>5602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PC2</cp:lastModifiedBy>
  <cp:revision>6</cp:revision>
  <dcterms:created xsi:type="dcterms:W3CDTF">2025-10-14T17:47:00Z</dcterms:created>
  <dcterms:modified xsi:type="dcterms:W3CDTF">2026-04-02T10:15:00Z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